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668D" w14:textId="77777777" w:rsidR="003625DD" w:rsidRDefault="002618DD">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Pr>
          <w:rFonts w:ascii="微软雅黑" w:eastAsia="微软雅黑" w:hAnsi="微软雅黑" w:cs="微软雅黑"/>
          <w:sz w:val="28"/>
          <w:szCs w:val="21"/>
          <w:shd w:val="clear" w:color="auto" w:fill="FFFFFF"/>
        </w:rPr>
        <w:t>上海建桥学院专升本【护理综合】课程考试大纲</w:t>
      </w:r>
    </w:p>
    <w:p w14:paraId="53C028C1"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一、考试目标</w:t>
      </w:r>
    </w:p>
    <w:p w14:paraId="0DE865EF" w14:textId="77777777" w:rsidR="003625DD" w:rsidRDefault="003625DD">
      <w:pPr>
        <w:spacing w:line="360" w:lineRule="auto"/>
      </w:pPr>
    </w:p>
    <w:p w14:paraId="279B31EE" w14:textId="77777777" w:rsidR="003625DD" w:rsidRDefault="002618DD">
      <w:pPr>
        <w:spacing w:line="360" w:lineRule="auto"/>
        <w:ind w:firstLineChars="200" w:firstLine="420"/>
      </w:pPr>
      <w:r>
        <w:rPr>
          <w:rFonts w:hint="eastAsia"/>
        </w:rPr>
        <w:t>测试学生获得从事护理工作所必需的基本理论、基本知识和基本技能，以及运用与护理工作相关的知识，有效而安全地完成护理工作的能力。</w:t>
      </w:r>
    </w:p>
    <w:p w14:paraId="07D74278"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681DA240"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二、考试细则</w:t>
      </w:r>
    </w:p>
    <w:p w14:paraId="53E654FB" w14:textId="77777777" w:rsidR="003625DD" w:rsidRDefault="003625DD">
      <w:pPr>
        <w:pStyle w:val="a7"/>
        <w:widowControl/>
        <w:shd w:val="clear" w:color="auto" w:fill="FFFFFF"/>
        <w:adjustRightInd w:val="0"/>
        <w:snapToGrid w:val="0"/>
        <w:spacing w:before="60" w:beforeAutospacing="0" w:afterAutospacing="0" w:line="360" w:lineRule="auto"/>
        <w:rPr>
          <w:rFonts w:cstheme="minorBidi"/>
          <w:kern w:val="2"/>
          <w:sz w:val="21"/>
          <w:szCs w:val="22"/>
        </w:rPr>
      </w:pPr>
    </w:p>
    <w:p w14:paraId="4656F1F5" w14:textId="72671C0A"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1.</w:t>
      </w:r>
      <w:r>
        <w:rPr>
          <w:rFonts w:cstheme="minorBidi" w:hint="eastAsia"/>
          <w:kern w:val="2"/>
          <w:sz w:val="21"/>
          <w:szCs w:val="22"/>
        </w:rPr>
        <w:t>报考要求：专科所学专业必须是护理或助产。</w:t>
      </w:r>
    </w:p>
    <w:p w14:paraId="108D1681"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2.</w:t>
      </w:r>
      <w:r>
        <w:rPr>
          <w:rFonts w:cstheme="minorBidi" w:hint="eastAsia"/>
          <w:kern w:val="2"/>
          <w:sz w:val="21"/>
          <w:szCs w:val="22"/>
        </w:rPr>
        <w:t>考试内容：包括护理学导论和基础护理学两部分。</w:t>
      </w:r>
    </w:p>
    <w:p w14:paraId="0FA505D1"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3.</w:t>
      </w:r>
      <w:r>
        <w:rPr>
          <w:rFonts w:cstheme="minorBidi" w:hint="eastAsia"/>
          <w:kern w:val="2"/>
          <w:sz w:val="21"/>
          <w:szCs w:val="22"/>
        </w:rPr>
        <w:t>考试形式及时间：考试形式为闭卷笔试，试卷满分为</w:t>
      </w:r>
      <w:r>
        <w:rPr>
          <w:rFonts w:cstheme="minorBidi" w:hint="eastAsia"/>
          <w:kern w:val="2"/>
          <w:sz w:val="21"/>
          <w:szCs w:val="22"/>
        </w:rPr>
        <w:t>100</w:t>
      </w:r>
      <w:r>
        <w:rPr>
          <w:rFonts w:cstheme="minorBidi" w:hint="eastAsia"/>
          <w:kern w:val="2"/>
          <w:sz w:val="21"/>
          <w:szCs w:val="22"/>
        </w:rPr>
        <w:t>分，考试时间为</w:t>
      </w:r>
      <w:r>
        <w:rPr>
          <w:rFonts w:cstheme="minorBidi" w:hint="eastAsia"/>
          <w:kern w:val="2"/>
          <w:sz w:val="21"/>
          <w:szCs w:val="22"/>
        </w:rPr>
        <w:t>120</w:t>
      </w:r>
      <w:r>
        <w:rPr>
          <w:rFonts w:cstheme="minorBidi" w:hint="eastAsia"/>
          <w:kern w:val="2"/>
          <w:sz w:val="21"/>
          <w:szCs w:val="22"/>
        </w:rPr>
        <w:t>分钟。</w:t>
      </w:r>
    </w:p>
    <w:p w14:paraId="48DCEA2F"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4.</w:t>
      </w:r>
      <w:r>
        <w:rPr>
          <w:rFonts w:cstheme="minorBidi" w:hint="eastAsia"/>
          <w:kern w:val="2"/>
          <w:sz w:val="21"/>
          <w:szCs w:val="22"/>
        </w:rPr>
        <w:t>题型及分值：名词解释（</w:t>
      </w:r>
      <w:r>
        <w:rPr>
          <w:rFonts w:cstheme="minorBidi" w:hint="eastAsia"/>
          <w:kern w:val="2"/>
          <w:sz w:val="21"/>
          <w:szCs w:val="22"/>
        </w:rPr>
        <w:t>5</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分）、选择题（</w:t>
      </w:r>
      <w:r>
        <w:rPr>
          <w:rFonts w:cstheme="minorBidi" w:hint="eastAsia"/>
          <w:kern w:val="2"/>
          <w:sz w:val="21"/>
          <w:szCs w:val="22"/>
        </w:rPr>
        <w:t>40</w:t>
      </w:r>
      <w:r>
        <w:rPr>
          <w:rFonts w:cstheme="minorBidi" w:hint="eastAsia"/>
          <w:kern w:val="2"/>
          <w:sz w:val="21"/>
          <w:szCs w:val="22"/>
        </w:rPr>
        <w:t>题，</w:t>
      </w:r>
      <w:r>
        <w:rPr>
          <w:rFonts w:cstheme="minorBidi" w:hint="eastAsia"/>
          <w:kern w:val="2"/>
          <w:sz w:val="21"/>
          <w:szCs w:val="22"/>
        </w:rPr>
        <w:t>40</w:t>
      </w:r>
      <w:r>
        <w:rPr>
          <w:rFonts w:cstheme="minorBidi" w:hint="eastAsia"/>
          <w:kern w:val="2"/>
          <w:sz w:val="21"/>
          <w:szCs w:val="22"/>
        </w:rPr>
        <w:t>分）、简答题（</w:t>
      </w:r>
      <w:r>
        <w:rPr>
          <w:rFonts w:cstheme="minorBidi" w:hint="eastAsia"/>
          <w:kern w:val="2"/>
          <w:sz w:val="21"/>
          <w:szCs w:val="22"/>
        </w:rPr>
        <w:t>4</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分）、案例分析题（</w:t>
      </w:r>
      <w:r>
        <w:rPr>
          <w:rFonts w:cstheme="minorBidi" w:hint="eastAsia"/>
          <w:kern w:val="2"/>
          <w:sz w:val="21"/>
          <w:szCs w:val="22"/>
        </w:rPr>
        <w:t>2</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w:t>
      </w:r>
    </w:p>
    <w:p w14:paraId="5E10DCF2" w14:textId="77777777" w:rsidR="003625DD" w:rsidRDefault="003625DD">
      <w:pPr>
        <w:pStyle w:val="a7"/>
        <w:widowControl/>
        <w:shd w:val="clear" w:color="auto" w:fill="FFFFFF"/>
        <w:adjustRightInd w:val="0"/>
        <w:snapToGrid w:val="0"/>
        <w:spacing w:beforeAutospacing="0" w:afterAutospacing="0" w:line="360" w:lineRule="auto"/>
        <w:rPr>
          <w:rFonts w:cstheme="minorBidi"/>
          <w:kern w:val="2"/>
          <w:sz w:val="21"/>
          <w:szCs w:val="22"/>
        </w:rPr>
      </w:pPr>
    </w:p>
    <w:p w14:paraId="47F921E1"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三、试卷题型及分值分布要求</w:t>
      </w:r>
    </w:p>
    <w:p w14:paraId="3B959925"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tbl>
      <w:tblPr>
        <w:tblW w:w="50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205"/>
        <w:gridCol w:w="2865"/>
      </w:tblGrid>
      <w:tr w:rsidR="003625DD" w14:paraId="1C80D13C" w14:textId="77777777">
        <w:trPr>
          <w:jc w:val="center"/>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7520E333"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题型</w:t>
            </w:r>
          </w:p>
        </w:tc>
        <w:tc>
          <w:tcPr>
            <w:tcW w:w="2865"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09B915AA"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分值</w:t>
            </w:r>
          </w:p>
        </w:tc>
      </w:tr>
      <w:tr w:rsidR="003625DD" w14:paraId="5530AAE2"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4E7A04C"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名词解释</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4FD519D"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4C61F248"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718787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选择题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0D166D0"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40</w:t>
            </w:r>
          </w:p>
        </w:tc>
      </w:tr>
      <w:tr w:rsidR="003625DD" w14:paraId="13629AFE"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498A140"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简答题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E6F0012"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77D9D908"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8E0BDB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案例分析题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0DA0AB6"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0BFE35AD"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B67FDEA"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合计</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F84FD8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w:t>
            </w:r>
          </w:p>
        </w:tc>
      </w:tr>
    </w:tbl>
    <w:p w14:paraId="325DF255"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59268177"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四、考试内容和要求</w:t>
      </w:r>
    </w:p>
    <w:p w14:paraId="3541A339"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321F9840" w14:textId="77777777" w:rsidR="003625DD" w:rsidRDefault="002618DD">
      <w:pPr>
        <w:pStyle w:val="a7"/>
        <w:widowControl/>
        <w:shd w:val="clear" w:color="auto" w:fill="FFFFFF"/>
        <w:spacing w:before="60" w:beforeAutospacing="0" w:afterAutospacing="0" w:line="360" w:lineRule="exact"/>
        <w:rPr>
          <w:rFonts w:cstheme="minorBidi"/>
          <w:b/>
          <w:kern w:val="2"/>
          <w:sz w:val="21"/>
          <w:szCs w:val="22"/>
        </w:rPr>
      </w:pPr>
      <w:r>
        <w:rPr>
          <w:rFonts w:cstheme="minorBidi" w:hint="eastAsia"/>
          <w:b/>
          <w:kern w:val="2"/>
          <w:sz w:val="21"/>
          <w:szCs w:val="22"/>
        </w:rPr>
        <w:t>（一）护理学导论</w:t>
      </w:r>
    </w:p>
    <w:p w14:paraId="0120A13A" w14:textId="77777777" w:rsidR="003625DD" w:rsidRDefault="003625DD">
      <w:pPr>
        <w:pStyle w:val="a7"/>
        <w:widowControl/>
        <w:shd w:val="clear" w:color="auto" w:fill="FFFFFF"/>
        <w:spacing w:before="60" w:beforeAutospacing="0" w:afterAutospacing="0" w:line="360" w:lineRule="exact"/>
        <w:ind w:left="720"/>
        <w:rPr>
          <w:rFonts w:cstheme="minorBidi"/>
          <w:b/>
          <w:kern w:val="2"/>
          <w:sz w:val="21"/>
          <w:szCs w:val="22"/>
        </w:rPr>
      </w:pPr>
    </w:p>
    <w:tbl>
      <w:tblPr>
        <w:tblStyle w:val="a8"/>
        <w:tblW w:w="9391" w:type="dxa"/>
        <w:tblLook w:val="04A0" w:firstRow="1" w:lastRow="0" w:firstColumn="1" w:lastColumn="0" w:noHBand="0" w:noVBand="1"/>
      </w:tblPr>
      <w:tblGrid>
        <w:gridCol w:w="1242"/>
        <w:gridCol w:w="1843"/>
        <w:gridCol w:w="6306"/>
      </w:tblGrid>
      <w:tr w:rsidR="003625DD" w14:paraId="502611F1" w14:textId="77777777">
        <w:trPr>
          <w:trHeight w:val="545"/>
        </w:trPr>
        <w:tc>
          <w:tcPr>
            <w:tcW w:w="1242" w:type="dxa"/>
          </w:tcPr>
          <w:p w14:paraId="5BD5D69B"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序号</w:t>
            </w:r>
          </w:p>
        </w:tc>
        <w:tc>
          <w:tcPr>
            <w:tcW w:w="1843" w:type="dxa"/>
          </w:tcPr>
          <w:p w14:paraId="3596DC6A"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内容</w:t>
            </w:r>
          </w:p>
        </w:tc>
        <w:tc>
          <w:tcPr>
            <w:tcW w:w="6306" w:type="dxa"/>
          </w:tcPr>
          <w:p w14:paraId="7792A738"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要求</w:t>
            </w:r>
          </w:p>
        </w:tc>
      </w:tr>
      <w:tr w:rsidR="003625DD" w14:paraId="34973DDC" w14:textId="77777777">
        <w:trPr>
          <w:trHeight w:val="545"/>
        </w:trPr>
        <w:tc>
          <w:tcPr>
            <w:tcW w:w="1242" w:type="dxa"/>
            <w:vAlign w:val="center"/>
          </w:tcPr>
          <w:p w14:paraId="5F8B3B77"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w:t>
            </w:r>
          </w:p>
        </w:tc>
        <w:tc>
          <w:tcPr>
            <w:tcW w:w="1843" w:type="dxa"/>
            <w:vAlign w:val="center"/>
          </w:tcPr>
          <w:p w14:paraId="7B753A2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护理学的发展及基本概念</w:t>
            </w:r>
          </w:p>
        </w:tc>
        <w:tc>
          <w:tcPr>
            <w:tcW w:w="6306" w:type="dxa"/>
            <w:vAlign w:val="center"/>
          </w:tcPr>
          <w:p w14:paraId="5B4559B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1.知道护理学的发展、演变过程及每个阶段的发展特点、南丁格尔对护理学发展的贡献、护理专业的工作范畴。</w:t>
            </w:r>
          </w:p>
          <w:p w14:paraId="0E8F901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2.理解护理概念的三个演变过程及每个过程的特征</w:t>
            </w:r>
            <w:r>
              <w:rPr>
                <w:rFonts w:ascii="宋体" w:eastAsia="宋体" w:hAnsi="宋体" w:hint="eastAsia"/>
                <w:color w:val="000000"/>
                <w:szCs w:val="21"/>
              </w:rPr>
              <w:t>、近</w:t>
            </w:r>
            <w:r>
              <w:rPr>
                <w:rFonts w:ascii="宋体" w:eastAsia="宋体" w:hAnsi="宋体" w:cs="Times New Roman" w:hint="eastAsia"/>
                <w:color w:val="000000"/>
                <w:szCs w:val="21"/>
              </w:rPr>
              <w:t>现代护理发展的各个重要阶段</w:t>
            </w:r>
            <w:r>
              <w:rPr>
                <w:rFonts w:ascii="宋体" w:eastAsia="宋体" w:hAnsi="宋体" w:hint="eastAsia"/>
                <w:color w:val="000000"/>
                <w:szCs w:val="21"/>
              </w:rPr>
              <w:t>的主要特点、护理专业的特点、</w:t>
            </w:r>
            <w:r>
              <w:rPr>
                <w:rFonts w:ascii="宋体" w:eastAsia="宋体" w:hAnsi="宋体" w:cs="Times New Roman" w:hint="eastAsia"/>
                <w:color w:val="000000"/>
                <w:szCs w:val="21"/>
              </w:rPr>
              <w:t>专业护士的角色</w:t>
            </w:r>
            <w:r>
              <w:rPr>
                <w:rFonts w:ascii="宋体" w:eastAsia="宋体" w:hAnsi="宋体" w:cs="Times New Roman" w:hint="eastAsia"/>
                <w:color w:val="000000"/>
                <w:szCs w:val="21"/>
              </w:rPr>
              <w:lastRenderedPageBreak/>
              <w:t>要求。</w:t>
            </w:r>
          </w:p>
        </w:tc>
      </w:tr>
      <w:tr w:rsidR="003625DD" w14:paraId="317D3C16" w14:textId="77777777">
        <w:trPr>
          <w:trHeight w:val="545"/>
        </w:trPr>
        <w:tc>
          <w:tcPr>
            <w:tcW w:w="1242" w:type="dxa"/>
            <w:vAlign w:val="center"/>
          </w:tcPr>
          <w:p w14:paraId="292CFEA9"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2</w:t>
            </w:r>
          </w:p>
        </w:tc>
        <w:tc>
          <w:tcPr>
            <w:tcW w:w="1843" w:type="dxa"/>
            <w:vAlign w:val="center"/>
          </w:tcPr>
          <w:p w14:paraId="3E3255C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健康与疾病</w:t>
            </w:r>
          </w:p>
        </w:tc>
        <w:tc>
          <w:tcPr>
            <w:tcW w:w="6306" w:type="dxa"/>
            <w:vAlign w:val="center"/>
          </w:tcPr>
          <w:p w14:paraId="2C11E94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1.知道健康与疾病的相关概念、影响健康的因素和健康的测量指标、病人常见的行为和心理反应。</w:t>
            </w:r>
          </w:p>
          <w:p w14:paraId="462FC3F4"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2.理解健康与疾病的关系、常见的病人角色适应不良、疾病的影响、全球及我国卫生保健的战略目标及健康中国战略。</w:t>
            </w:r>
          </w:p>
        </w:tc>
      </w:tr>
      <w:tr w:rsidR="003625DD" w14:paraId="31563202" w14:textId="77777777">
        <w:trPr>
          <w:trHeight w:val="545"/>
        </w:trPr>
        <w:tc>
          <w:tcPr>
            <w:tcW w:w="1242" w:type="dxa"/>
            <w:vAlign w:val="center"/>
          </w:tcPr>
          <w:p w14:paraId="2C76E6A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3</w:t>
            </w:r>
          </w:p>
        </w:tc>
        <w:tc>
          <w:tcPr>
            <w:tcW w:w="1843" w:type="dxa"/>
            <w:vAlign w:val="center"/>
          </w:tcPr>
          <w:p w14:paraId="687BFD51"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需要与关怀</w:t>
            </w:r>
          </w:p>
        </w:tc>
        <w:tc>
          <w:tcPr>
            <w:tcW w:w="6306" w:type="dxa"/>
            <w:vAlign w:val="center"/>
          </w:tcPr>
          <w:p w14:paraId="77B20C6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1.知道马斯洛的人类基本需要层次论、关怀的内涵、Watson人性关怀理论和Swanson关怀理论的基本观点。</w:t>
            </w:r>
          </w:p>
          <w:p w14:paraId="0492AE8D"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2.理解马斯洛的人类基本需要层次论在护理实践中应用的意义、影响病人需要满足的因素、护理关怀的意义和作用。</w:t>
            </w:r>
          </w:p>
          <w:p w14:paraId="0A3F16B1"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3.依据人类基本需要层次论分析病人的需要并采用相应的策略满足其基本需要。</w:t>
            </w:r>
          </w:p>
        </w:tc>
      </w:tr>
      <w:tr w:rsidR="003625DD" w14:paraId="642A428C" w14:textId="77777777">
        <w:trPr>
          <w:trHeight w:val="545"/>
        </w:trPr>
        <w:tc>
          <w:tcPr>
            <w:tcW w:w="1242" w:type="dxa"/>
            <w:vAlign w:val="center"/>
          </w:tcPr>
          <w:p w14:paraId="52C948E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4</w:t>
            </w:r>
          </w:p>
        </w:tc>
        <w:tc>
          <w:tcPr>
            <w:tcW w:w="1843" w:type="dxa"/>
            <w:vAlign w:val="center"/>
          </w:tcPr>
          <w:p w14:paraId="0EFF698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护患关系与人际沟通</w:t>
            </w:r>
          </w:p>
        </w:tc>
        <w:tc>
          <w:tcPr>
            <w:tcW w:w="6306" w:type="dxa"/>
            <w:vAlign w:val="center"/>
          </w:tcPr>
          <w:p w14:paraId="7780AAD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1.知道护患关系的基本模式和分期、人际沟通的基本要素、人际关系和非语言沟通的类型。</w:t>
            </w:r>
          </w:p>
          <w:p w14:paraId="1E2821C1"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2.理解人际关系、护患关系、人际沟通、护患沟通、语言沟通、非语言沟通、倾听、同理、自我暴露的概念。</w:t>
            </w:r>
          </w:p>
          <w:p w14:paraId="04A39C98"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3.说明人际关系、护患关系、护患沟通的特征；分析人际沟通的层次；明确阻碍护患沟通的因素。</w:t>
            </w:r>
          </w:p>
          <w:p w14:paraId="13BB1E88"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4.运用人际关系基本理论模拟并处理护理工作中的各种人际关系；</w:t>
            </w:r>
          </w:p>
          <w:p w14:paraId="0C8EFA70" w14:textId="77777777" w:rsidR="003625DD" w:rsidRDefault="002618DD">
            <w:r>
              <w:rPr>
                <w:rFonts w:ascii="宋体" w:eastAsia="宋体" w:hAnsi="宋体" w:cs="Times New Roman" w:hint="eastAsia"/>
                <w:color w:val="000000"/>
                <w:szCs w:val="21"/>
              </w:rPr>
              <w:t>运用人际沟通的技巧进行护患间有效的沟通。</w:t>
            </w:r>
          </w:p>
        </w:tc>
      </w:tr>
      <w:tr w:rsidR="003625DD" w14:paraId="61B87268" w14:textId="77777777">
        <w:trPr>
          <w:trHeight w:val="545"/>
        </w:trPr>
        <w:tc>
          <w:tcPr>
            <w:tcW w:w="1242" w:type="dxa"/>
            <w:vAlign w:val="center"/>
          </w:tcPr>
          <w:p w14:paraId="4447E6F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5</w:t>
            </w:r>
          </w:p>
        </w:tc>
        <w:tc>
          <w:tcPr>
            <w:tcW w:w="1843" w:type="dxa"/>
            <w:vAlign w:val="center"/>
          </w:tcPr>
          <w:p w14:paraId="1574D0C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护理程序</w:t>
            </w:r>
          </w:p>
        </w:tc>
        <w:tc>
          <w:tcPr>
            <w:tcW w:w="6306" w:type="dxa"/>
            <w:vAlign w:val="center"/>
          </w:tcPr>
          <w:p w14:paraId="3D7B02F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1.知道护理程序及护理诊断的概念、资料收集的内容和方法、护理诊断的排序原则、护理诊断的陈述结构与方式、制订预期目标和护理措施的要求、临床护理记录常用的记录方法。</w:t>
            </w:r>
          </w:p>
          <w:p w14:paraId="332E9ECB"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2.理解护理诊断的四种类型及组成部分；鉴别护理诊断与合作性问题、医疗诊断；鉴别主观资料和客观资料。</w:t>
            </w:r>
          </w:p>
          <w:p w14:paraId="1E8EA764" w14:textId="77777777" w:rsidR="003625DD" w:rsidRDefault="002618DD">
            <w:pPr>
              <w:snapToGrid w:val="0"/>
              <w:spacing w:line="288" w:lineRule="auto"/>
              <w:jc w:val="left"/>
            </w:pPr>
            <w:r>
              <w:rPr>
                <w:rFonts w:ascii="宋体" w:eastAsia="宋体" w:hAnsi="宋体" w:cs="Times New Roman" w:hint="eastAsia"/>
                <w:color w:val="000000"/>
                <w:szCs w:val="21"/>
              </w:rPr>
              <w:t>3.运用相关标准判断护理诊断、护理目标、护理措施的正误。</w:t>
            </w:r>
          </w:p>
        </w:tc>
      </w:tr>
      <w:tr w:rsidR="003625DD" w14:paraId="538FA13E" w14:textId="77777777">
        <w:trPr>
          <w:trHeight w:val="545"/>
        </w:trPr>
        <w:tc>
          <w:tcPr>
            <w:tcW w:w="1242" w:type="dxa"/>
            <w:vAlign w:val="center"/>
          </w:tcPr>
          <w:p w14:paraId="7C09D9C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6</w:t>
            </w:r>
          </w:p>
        </w:tc>
        <w:tc>
          <w:tcPr>
            <w:tcW w:w="1843" w:type="dxa"/>
            <w:vAlign w:val="center"/>
          </w:tcPr>
          <w:p w14:paraId="20F43A2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护理理论及模式</w:t>
            </w:r>
          </w:p>
        </w:tc>
        <w:tc>
          <w:tcPr>
            <w:tcW w:w="6306" w:type="dxa"/>
            <w:vAlign w:val="center"/>
          </w:tcPr>
          <w:p w14:paraId="5468A17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1.知道护理理念、护理理论的相关概念及发展过程。</w:t>
            </w:r>
          </w:p>
          <w:p w14:paraId="4D08541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2.理解奥瑞</w:t>
            </w:r>
            <w:proofErr w:type="gramStart"/>
            <w:r>
              <w:rPr>
                <w:rFonts w:ascii="宋体" w:eastAsia="宋体" w:hAnsi="宋体" w:cs="Times New Roman" w:hint="eastAsia"/>
                <w:color w:val="000000"/>
                <w:szCs w:val="21"/>
              </w:rPr>
              <w:t>姆</w:t>
            </w:r>
            <w:proofErr w:type="gramEnd"/>
            <w:r>
              <w:rPr>
                <w:rFonts w:ascii="宋体" w:eastAsia="宋体" w:hAnsi="宋体" w:cs="Times New Roman" w:hint="eastAsia"/>
                <w:color w:val="000000"/>
                <w:szCs w:val="21"/>
              </w:rPr>
              <w:t>自理理论、罗伊适应模式的主要内容；</w:t>
            </w:r>
            <w:proofErr w:type="gramStart"/>
            <w:r>
              <w:rPr>
                <w:rFonts w:ascii="宋体" w:eastAsia="宋体" w:hAnsi="宋体" w:cs="Times New Roman" w:hint="eastAsia"/>
                <w:color w:val="000000"/>
                <w:szCs w:val="21"/>
              </w:rPr>
              <w:t>纽曼</w:t>
            </w:r>
            <w:proofErr w:type="gramEnd"/>
            <w:r>
              <w:rPr>
                <w:rFonts w:ascii="宋体" w:eastAsia="宋体" w:hAnsi="宋体" w:cs="Times New Roman" w:hint="eastAsia"/>
                <w:color w:val="000000"/>
                <w:szCs w:val="21"/>
              </w:rPr>
              <w:t>系统模式的主要观点。</w:t>
            </w:r>
          </w:p>
        </w:tc>
      </w:tr>
      <w:tr w:rsidR="003625DD" w14:paraId="44110BEF" w14:textId="77777777">
        <w:trPr>
          <w:trHeight w:val="545"/>
        </w:trPr>
        <w:tc>
          <w:tcPr>
            <w:tcW w:w="1242" w:type="dxa"/>
            <w:vAlign w:val="center"/>
          </w:tcPr>
          <w:p w14:paraId="4829B70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7</w:t>
            </w:r>
          </w:p>
        </w:tc>
        <w:tc>
          <w:tcPr>
            <w:tcW w:w="1843" w:type="dxa"/>
            <w:vAlign w:val="center"/>
          </w:tcPr>
          <w:p w14:paraId="035EF916"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护理伦理</w:t>
            </w:r>
          </w:p>
        </w:tc>
        <w:tc>
          <w:tcPr>
            <w:tcW w:w="6306" w:type="dxa"/>
            <w:vAlign w:val="center"/>
          </w:tcPr>
          <w:p w14:paraId="6D86724B"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1.知道护理伦理基本原则、护理道德的规范与范畴、病人的权利与义务。</w:t>
            </w:r>
          </w:p>
          <w:p w14:paraId="59DB950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2.理解职业道德、护理道德修养及知情同意的概念、生命伦理学中的有关理论、常见的生命伦理学伦理难题及处理方法。</w:t>
            </w:r>
          </w:p>
          <w:p w14:paraId="57F0985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3.分析判断护理活动中的伦理问题。</w:t>
            </w:r>
          </w:p>
        </w:tc>
      </w:tr>
      <w:tr w:rsidR="003625DD" w14:paraId="3A84604C" w14:textId="77777777">
        <w:trPr>
          <w:trHeight w:val="545"/>
        </w:trPr>
        <w:tc>
          <w:tcPr>
            <w:tcW w:w="1242" w:type="dxa"/>
            <w:vAlign w:val="center"/>
          </w:tcPr>
          <w:p w14:paraId="5D03B0DB" w14:textId="77777777" w:rsidR="003625DD" w:rsidRDefault="002618DD">
            <w:pPr>
              <w:pStyle w:val="a7"/>
              <w:widowControl/>
              <w:spacing w:before="60" w:beforeAutospacing="0" w:afterAutospacing="0" w:line="360" w:lineRule="exact"/>
              <w:jc w:val="center"/>
              <w:rPr>
                <w:rFonts w:ascii="宋体" w:eastAsia="宋体" w:hAnsi="宋体"/>
                <w:color w:val="000000"/>
                <w:kern w:val="2"/>
                <w:sz w:val="21"/>
                <w:szCs w:val="21"/>
              </w:rPr>
            </w:pPr>
            <w:r>
              <w:rPr>
                <w:rFonts w:ascii="宋体" w:eastAsia="宋体" w:hAnsi="宋体" w:hint="eastAsia"/>
                <w:color w:val="000000"/>
                <w:kern w:val="2"/>
                <w:sz w:val="21"/>
                <w:szCs w:val="21"/>
              </w:rPr>
              <w:t>8</w:t>
            </w:r>
          </w:p>
        </w:tc>
        <w:tc>
          <w:tcPr>
            <w:tcW w:w="1843" w:type="dxa"/>
            <w:vAlign w:val="center"/>
          </w:tcPr>
          <w:p w14:paraId="71A4A403" w14:textId="77777777" w:rsidR="003625DD" w:rsidRDefault="002618DD">
            <w:pPr>
              <w:pStyle w:val="a7"/>
              <w:widowControl/>
              <w:spacing w:before="60" w:beforeAutospacing="0" w:afterAutospacing="0" w:line="360" w:lineRule="exact"/>
              <w:jc w:val="center"/>
              <w:rPr>
                <w:rFonts w:ascii="宋体" w:eastAsia="宋体" w:hAnsi="宋体"/>
                <w:color w:val="000000"/>
                <w:kern w:val="2"/>
                <w:sz w:val="21"/>
                <w:szCs w:val="21"/>
              </w:rPr>
            </w:pPr>
            <w:r>
              <w:rPr>
                <w:rFonts w:ascii="微软雅黑" w:eastAsia="微软雅黑" w:hAnsi="微软雅黑" w:cs="微软雅黑" w:hint="eastAsia"/>
                <w:bCs/>
                <w:sz w:val="21"/>
                <w:szCs w:val="21"/>
                <w:shd w:val="clear" w:color="auto" w:fill="FFFFFF"/>
              </w:rPr>
              <w:t>护理专业中的法律问题</w:t>
            </w:r>
          </w:p>
        </w:tc>
        <w:tc>
          <w:tcPr>
            <w:tcW w:w="6306" w:type="dxa"/>
            <w:vAlign w:val="center"/>
          </w:tcPr>
          <w:p w14:paraId="5434FADA"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1.知道医疗纠纷、医疗事故的概念、护理法的基本内容。</w:t>
            </w:r>
          </w:p>
          <w:p w14:paraId="0F886F77"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2.理解医疗纠纷的分类、医疗事故的构成要件和分级、举证责任倒置的基本含义、护理工作中专业和相关法律法规的类型、护士的工作权限。</w:t>
            </w:r>
          </w:p>
          <w:p w14:paraId="0028DBC9"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3.分析医疗事故的分级、护理工作中的法律问题。</w:t>
            </w:r>
          </w:p>
        </w:tc>
      </w:tr>
    </w:tbl>
    <w:p w14:paraId="036F18E2" w14:textId="77777777" w:rsidR="003625DD" w:rsidRDefault="003625DD">
      <w:pPr>
        <w:pStyle w:val="a7"/>
        <w:widowControl/>
        <w:shd w:val="clear" w:color="auto" w:fill="FFFFFF"/>
        <w:spacing w:before="60" w:beforeAutospacing="0" w:afterAutospacing="0" w:line="360" w:lineRule="exact"/>
        <w:rPr>
          <w:rFonts w:ascii="宋体" w:eastAsia="宋体" w:hAnsi="宋体"/>
          <w:color w:val="000000"/>
          <w:kern w:val="2"/>
          <w:sz w:val="21"/>
          <w:szCs w:val="21"/>
        </w:rPr>
      </w:pPr>
    </w:p>
    <w:p w14:paraId="581A4CB9"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03FE3F03"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4BC3F57C" w14:textId="77777777" w:rsidR="003625DD" w:rsidRDefault="002618DD">
      <w:pPr>
        <w:pStyle w:val="a7"/>
        <w:widowControl/>
        <w:shd w:val="clear" w:color="auto" w:fill="FFFFFF"/>
        <w:spacing w:before="60" w:beforeAutospacing="0" w:afterAutospacing="0" w:line="360" w:lineRule="exact"/>
        <w:rPr>
          <w:rFonts w:cstheme="minorBidi"/>
          <w:b/>
          <w:kern w:val="2"/>
          <w:sz w:val="21"/>
          <w:szCs w:val="22"/>
        </w:rPr>
      </w:pPr>
      <w:r>
        <w:rPr>
          <w:rFonts w:cstheme="minorBidi" w:hint="eastAsia"/>
          <w:b/>
          <w:kern w:val="2"/>
          <w:sz w:val="21"/>
          <w:szCs w:val="22"/>
        </w:rPr>
        <w:lastRenderedPageBreak/>
        <w:t>（二）基础护理学</w:t>
      </w:r>
    </w:p>
    <w:p w14:paraId="37AD7402"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tbl>
      <w:tblPr>
        <w:tblStyle w:val="a8"/>
        <w:tblW w:w="9391" w:type="dxa"/>
        <w:tblLook w:val="04A0" w:firstRow="1" w:lastRow="0" w:firstColumn="1" w:lastColumn="0" w:noHBand="0" w:noVBand="1"/>
      </w:tblPr>
      <w:tblGrid>
        <w:gridCol w:w="1242"/>
        <w:gridCol w:w="1843"/>
        <w:gridCol w:w="6306"/>
      </w:tblGrid>
      <w:tr w:rsidR="003625DD" w14:paraId="7F5F4150" w14:textId="77777777">
        <w:trPr>
          <w:trHeight w:val="545"/>
        </w:trPr>
        <w:tc>
          <w:tcPr>
            <w:tcW w:w="1242" w:type="dxa"/>
          </w:tcPr>
          <w:p w14:paraId="14484207"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序号</w:t>
            </w:r>
          </w:p>
        </w:tc>
        <w:tc>
          <w:tcPr>
            <w:tcW w:w="1843" w:type="dxa"/>
          </w:tcPr>
          <w:p w14:paraId="3319BD18"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内容</w:t>
            </w:r>
          </w:p>
        </w:tc>
        <w:tc>
          <w:tcPr>
            <w:tcW w:w="6306" w:type="dxa"/>
          </w:tcPr>
          <w:p w14:paraId="7D77FE2F"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要求</w:t>
            </w:r>
          </w:p>
        </w:tc>
      </w:tr>
      <w:tr w:rsidR="003625DD" w14:paraId="610A6B58" w14:textId="77777777">
        <w:trPr>
          <w:trHeight w:val="545"/>
        </w:trPr>
        <w:tc>
          <w:tcPr>
            <w:tcW w:w="1242" w:type="dxa"/>
            <w:vAlign w:val="center"/>
          </w:tcPr>
          <w:p w14:paraId="04599E2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w:t>
            </w:r>
          </w:p>
        </w:tc>
        <w:tc>
          <w:tcPr>
            <w:tcW w:w="1843" w:type="dxa"/>
            <w:vAlign w:val="center"/>
          </w:tcPr>
          <w:p w14:paraId="7D156DB9"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环境管理</w:t>
            </w:r>
          </w:p>
        </w:tc>
        <w:tc>
          <w:tcPr>
            <w:tcW w:w="6306" w:type="dxa"/>
            <w:vAlign w:val="center"/>
          </w:tcPr>
          <w:p w14:paraId="3A1F427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1.知道医院环境的分类、良好的医院环境应具备的特点、医院环境调控的有关要素。</w:t>
            </w:r>
          </w:p>
          <w:p w14:paraId="5C45138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2.能正确运用相关知识为病人创造安全、舒适的治疗环境。</w:t>
            </w:r>
          </w:p>
        </w:tc>
      </w:tr>
      <w:tr w:rsidR="003625DD" w14:paraId="74541129" w14:textId="77777777">
        <w:trPr>
          <w:trHeight w:val="545"/>
        </w:trPr>
        <w:tc>
          <w:tcPr>
            <w:tcW w:w="1242" w:type="dxa"/>
            <w:vAlign w:val="center"/>
          </w:tcPr>
          <w:p w14:paraId="67C4F83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2</w:t>
            </w:r>
          </w:p>
        </w:tc>
        <w:tc>
          <w:tcPr>
            <w:tcW w:w="1843" w:type="dxa"/>
            <w:vAlign w:val="center"/>
          </w:tcPr>
          <w:p w14:paraId="0A74443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医院感染的预防与控制</w:t>
            </w:r>
          </w:p>
        </w:tc>
        <w:tc>
          <w:tcPr>
            <w:tcW w:w="6306" w:type="dxa"/>
            <w:vAlign w:val="center"/>
          </w:tcPr>
          <w:p w14:paraId="296A5FE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1.知道医院感染的分类、形成原因及条件。</w:t>
            </w:r>
          </w:p>
          <w:p w14:paraId="70ED096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2.知道常用的消毒灭菌方法及注意事项。</w:t>
            </w:r>
          </w:p>
          <w:p w14:paraId="508EF6B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3.知道无菌技术操作原则和隔离原则。</w:t>
            </w:r>
          </w:p>
          <w:p w14:paraId="179B577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4.理解医院感染、清洁、消毒、灭菌、手卫生、无菌技术、标准预防及隔离的概念。</w:t>
            </w:r>
          </w:p>
          <w:p w14:paraId="3D76742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5.理解隔离区域的划分标准、医院不同病区的建筑布局与隔离要求、常见的隔离类型及相应的隔离措施。</w:t>
            </w:r>
          </w:p>
          <w:p w14:paraId="0452B77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6.能正确进行手卫生、无菌技术基本操作、隔离技术基本操作。</w:t>
            </w:r>
          </w:p>
        </w:tc>
      </w:tr>
      <w:tr w:rsidR="003625DD" w14:paraId="142ACA14" w14:textId="77777777">
        <w:trPr>
          <w:trHeight w:val="545"/>
        </w:trPr>
        <w:tc>
          <w:tcPr>
            <w:tcW w:w="1242" w:type="dxa"/>
            <w:vAlign w:val="center"/>
          </w:tcPr>
          <w:p w14:paraId="58234B0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3</w:t>
            </w:r>
          </w:p>
        </w:tc>
        <w:tc>
          <w:tcPr>
            <w:tcW w:w="1843" w:type="dxa"/>
            <w:vAlign w:val="center"/>
          </w:tcPr>
          <w:p w14:paraId="5D0326F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出入院护理</w:t>
            </w:r>
          </w:p>
        </w:tc>
        <w:tc>
          <w:tcPr>
            <w:tcW w:w="6306" w:type="dxa"/>
            <w:vAlign w:val="center"/>
          </w:tcPr>
          <w:p w14:paraId="5CFB75A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1.知道病人</w:t>
            </w:r>
            <w:proofErr w:type="gramStart"/>
            <w:r>
              <w:rPr>
                <w:rFonts w:ascii="宋体" w:eastAsia="宋体" w:hAnsi="宋体" w:cs="Times New Roman" w:hint="eastAsia"/>
                <w:color w:val="000000"/>
                <w:szCs w:val="21"/>
              </w:rPr>
              <w:t>床单位</w:t>
            </w:r>
            <w:proofErr w:type="gramEnd"/>
            <w:r>
              <w:rPr>
                <w:rFonts w:ascii="宋体" w:eastAsia="宋体" w:hAnsi="宋体" w:cs="Times New Roman" w:hint="eastAsia"/>
                <w:color w:val="000000"/>
                <w:szCs w:val="21"/>
              </w:rPr>
              <w:t>所包含的固定设备、入院护理和出院护理的目的。</w:t>
            </w:r>
          </w:p>
          <w:p w14:paraId="35DD54E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2.知道临床上常用卧位的适用范围及临床意义。</w:t>
            </w:r>
          </w:p>
          <w:p w14:paraId="070F9FA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3.知道分级护理的级别、适用对象及相应的护理要点。</w:t>
            </w:r>
          </w:p>
          <w:p w14:paraId="7D6B984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4.理解分级护理的概念。</w:t>
            </w:r>
          </w:p>
          <w:p w14:paraId="23BF111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5.理解卧位的分类方法、变换卧位法的目的、操作中的注意事项、在护理工作中保证病人平衡与稳定的措施。</w:t>
            </w:r>
          </w:p>
          <w:p w14:paraId="73FEE1D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能正确运用铺床方法为新病人、暂时离床病人、麻醉手术后病人或长期卧床病人准备安全、整洁、舒适的床单位；能为病人安置舒适卧位；能按正确的方法协助病人变换卧位；能正确使用轮椅或平车运送病人；能正确运用人体力学原理。</w:t>
            </w:r>
          </w:p>
        </w:tc>
      </w:tr>
      <w:tr w:rsidR="003625DD" w14:paraId="623E1B9B" w14:textId="77777777">
        <w:trPr>
          <w:trHeight w:val="545"/>
        </w:trPr>
        <w:tc>
          <w:tcPr>
            <w:tcW w:w="1242" w:type="dxa"/>
            <w:vAlign w:val="center"/>
          </w:tcPr>
          <w:p w14:paraId="4897142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4</w:t>
            </w:r>
          </w:p>
        </w:tc>
        <w:tc>
          <w:tcPr>
            <w:tcW w:w="1843" w:type="dxa"/>
            <w:vAlign w:val="center"/>
          </w:tcPr>
          <w:p w14:paraId="66EC8FB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病人安全与护士职业防护</w:t>
            </w:r>
          </w:p>
        </w:tc>
        <w:tc>
          <w:tcPr>
            <w:tcW w:w="6306" w:type="dxa"/>
            <w:vAlign w:val="center"/>
          </w:tcPr>
          <w:p w14:paraId="1C52CCE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1.知道保护具、辅助器使用的目的及操作中的注意事项。</w:t>
            </w:r>
          </w:p>
          <w:p w14:paraId="2F8C91B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2.知道职业暴露的有害因素及对人体的影响。</w:t>
            </w:r>
          </w:p>
          <w:p w14:paraId="3EBDF4DD"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3.理解安全环境、保护具、职业暴露、护理职业暴露、职业防护、护理职业防护、标准预防及护理职业风险的概念。</w:t>
            </w:r>
          </w:p>
          <w:p w14:paraId="186799A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4.理解医院常见的不安全因素、血源性病原体职业暴露、锐器伤、化疗药物职业</w:t>
            </w:r>
            <w:proofErr w:type="gramStart"/>
            <w:r>
              <w:rPr>
                <w:rFonts w:ascii="宋体" w:eastAsia="宋体" w:hAnsi="宋体" w:cs="Times New Roman" w:hint="eastAsia"/>
                <w:color w:val="000000"/>
                <w:szCs w:val="21"/>
              </w:rPr>
              <w:t>暴露及汞泄漏</w:t>
            </w:r>
            <w:proofErr w:type="gramEnd"/>
            <w:r>
              <w:rPr>
                <w:rFonts w:ascii="宋体" w:eastAsia="宋体" w:hAnsi="宋体" w:cs="Times New Roman" w:hint="eastAsia"/>
                <w:color w:val="000000"/>
                <w:szCs w:val="21"/>
              </w:rPr>
              <w:t>产生的原因及预防措施。</w:t>
            </w:r>
          </w:p>
          <w:p w14:paraId="597E6D9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5.能正确选择和科学使用各种保护具及辅助器具保证病人安全；正确处理锐器伤，并采取有效的、针对性的防护措施。</w:t>
            </w:r>
          </w:p>
        </w:tc>
      </w:tr>
      <w:tr w:rsidR="003625DD" w14:paraId="35E9CC39" w14:textId="77777777">
        <w:trPr>
          <w:trHeight w:val="274"/>
        </w:trPr>
        <w:tc>
          <w:tcPr>
            <w:tcW w:w="1242" w:type="dxa"/>
            <w:vAlign w:val="center"/>
          </w:tcPr>
          <w:p w14:paraId="03B5F18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5</w:t>
            </w:r>
          </w:p>
        </w:tc>
        <w:tc>
          <w:tcPr>
            <w:tcW w:w="1843" w:type="dxa"/>
            <w:vAlign w:val="center"/>
          </w:tcPr>
          <w:p w14:paraId="75FFE1A5"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清洁护理</w:t>
            </w:r>
          </w:p>
        </w:tc>
        <w:tc>
          <w:tcPr>
            <w:tcW w:w="6306" w:type="dxa"/>
            <w:vAlign w:val="center"/>
          </w:tcPr>
          <w:p w14:paraId="74805EB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1.知道口腔护理、头发护理、皮肤护理及会阴部护理的评估内容、目的和操作注意事项。</w:t>
            </w:r>
          </w:p>
          <w:p w14:paraId="7BBE825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2.知道常用的口腔护理溶液及其作用。</w:t>
            </w:r>
          </w:p>
          <w:p w14:paraId="569B718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3.知道压</w:t>
            </w:r>
            <w:proofErr w:type="gramStart"/>
            <w:r>
              <w:rPr>
                <w:rFonts w:ascii="宋体" w:eastAsia="宋体" w:hAnsi="宋体" w:cs="Times New Roman" w:hint="eastAsia"/>
                <w:color w:val="000000"/>
                <w:szCs w:val="21"/>
              </w:rPr>
              <w:t>疮发生</w:t>
            </w:r>
            <w:proofErr w:type="gramEnd"/>
            <w:r>
              <w:rPr>
                <w:rFonts w:ascii="宋体" w:eastAsia="宋体" w:hAnsi="宋体" w:cs="Times New Roman" w:hint="eastAsia"/>
                <w:color w:val="000000"/>
                <w:szCs w:val="21"/>
              </w:rPr>
              <w:t>的原因、高危人群及易患部位。</w:t>
            </w:r>
          </w:p>
          <w:p w14:paraId="245E9F0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4.理解压疮、剪切力的概念、压</w:t>
            </w:r>
            <w:proofErr w:type="gramStart"/>
            <w:r>
              <w:rPr>
                <w:rFonts w:ascii="宋体" w:eastAsia="宋体" w:hAnsi="宋体" w:cs="Times New Roman" w:hint="eastAsia"/>
                <w:color w:val="000000"/>
                <w:szCs w:val="21"/>
              </w:rPr>
              <w:t>疮发生</w:t>
            </w:r>
            <w:proofErr w:type="gramEnd"/>
            <w:r>
              <w:rPr>
                <w:rFonts w:ascii="宋体" w:eastAsia="宋体" w:hAnsi="宋体" w:cs="Times New Roman" w:hint="eastAsia"/>
                <w:color w:val="000000"/>
                <w:szCs w:val="21"/>
              </w:rPr>
              <w:t>的高危人群及预防措施、压疮各期的临床表现、预防压疮的护理措施。</w:t>
            </w:r>
          </w:p>
          <w:p w14:paraId="5D08CE9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5.能正确进行口腔护理、头发护理、皮肤护理、会阴部</w:t>
            </w:r>
            <w:proofErr w:type="gramStart"/>
            <w:r>
              <w:rPr>
                <w:rFonts w:ascii="宋体" w:eastAsia="宋体" w:hAnsi="宋体" w:cs="Times New Roman" w:hint="eastAsia"/>
                <w:color w:val="000000"/>
                <w:szCs w:val="21"/>
              </w:rPr>
              <w:t>护理及晨晚间</w:t>
            </w:r>
            <w:proofErr w:type="gramEnd"/>
            <w:r>
              <w:rPr>
                <w:rFonts w:ascii="宋体" w:eastAsia="宋体" w:hAnsi="宋体" w:cs="Times New Roman" w:hint="eastAsia"/>
                <w:color w:val="000000"/>
                <w:szCs w:val="21"/>
              </w:rPr>
              <w:t>护理；正确指导病人采取有效措施预防压疮的发生。</w:t>
            </w:r>
          </w:p>
        </w:tc>
      </w:tr>
      <w:tr w:rsidR="003625DD" w14:paraId="0E70788D" w14:textId="77777777">
        <w:trPr>
          <w:trHeight w:val="545"/>
        </w:trPr>
        <w:tc>
          <w:tcPr>
            <w:tcW w:w="1242" w:type="dxa"/>
            <w:vAlign w:val="center"/>
          </w:tcPr>
          <w:p w14:paraId="654C72F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6</w:t>
            </w:r>
          </w:p>
        </w:tc>
        <w:tc>
          <w:tcPr>
            <w:tcW w:w="1843" w:type="dxa"/>
            <w:vAlign w:val="center"/>
          </w:tcPr>
          <w:p w14:paraId="40E403F1"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休息与活动</w:t>
            </w:r>
          </w:p>
        </w:tc>
        <w:tc>
          <w:tcPr>
            <w:tcW w:w="6306" w:type="dxa"/>
          </w:tcPr>
          <w:p w14:paraId="0677F89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1.知道睡眠各时相的特点、失眠的原因及诊断标准、关节活动练习的目的。</w:t>
            </w:r>
          </w:p>
          <w:p w14:paraId="438869A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2.理解住院病人睡眠的特点、活动受限的原因及对机体的影响、病人的肌力和机体活动能力的级别。</w:t>
            </w:r>
          </w:p>
          <w:p w14:paraId="63494F3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3.能采取有效的护理措施促进病人的睡眠、协助病人活动。</w:t>
            </w:r>
          </w:p>
        </w:tc>
      </w:tr>
      <w:tr w:rsidR="003625DD" w14:paraId="09BB4D2A" w14:textId="77777777">
        <w:trPr>
          <w:trHeight w:val="545"/>
        </w:trPr>
        <w:tc>
          <w:tcPr>
            <w:tcW w:w="1242" w:type="dxa"/>
            <w:vAlign w:val="center"/>
          </w:tcPr>
          <w:p w14:paraId="0BCD79F7"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7</w:t>
            </w:r>
          </w:p>
        </w:tc>
        <w:tc>
          <w:tcPr>
            <w:tcW w:w="1843" w:type="dxa"/>
            <w:vAlign w:val="center"/>
          </w:tcPr>
          <w:p w14:paraId="64CCA9C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文件管理与书写</w:t>
            </w:r>
          </w:p>
        </w:tc>
        <w:tc>
          <w:tcPr>
            <w:tcW w:w="6306" w:type="dxa"/>
          </w:tcPr>
          <w:p w14:paraId="1A9B431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1.知道医疗与护理文件的记录原则及管理要求、医嘱处理的注意事项、病区交班报告书写顺序及要求。</w:t>
            </w:r>
          </w:p>
          <w:p w14:paraId="5168A6F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2.理解医疗与护理文件记录的重要性、医嘱的种类。</w:t>
            </w:r>
          </w:p>
          <w:p w14:paraId="36DAFA2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3.能正确绘制体温单、处理各种医嘱、书写出入</w:t>
            </w:r>
            <w:proofErr w:type="gramStart"/>
            <w:r>
              <w:rPr>
                <w:rFonts w:ascii="宋体" w:eastAsia="宋体" w:hAnsi="宋体" w:cs="Times New Roman" w:hint="eastAsia"/>
                <w:color w:val="000000"/>
                <w:szCs w:val="21"/>
              </w:rPr>
              <w:t>液记录</w:t>
            </w:r>
            <w:proofErr w:type="gramEnd"/>
            <w:r>
              <w:rPr>
                <w:rFonts w:ascii="宋体" w:eastAsia="宋体" w:hAnsi="宋体" w:cs="Times New Roman" w:hint="eastAsia"/>
                <w:color w:val="000000"/>
                <w:szCs w:val="21"/>
              </w:rPr>
              <w:t>单、特殊护理记录单、病区交班报告。</w:t>
            </w:r>
          </w:p>
        </w:tc>
      </w:tr>
      <w:tr w:rsidR="003625DD" w14:paraId="3CDD033A" w14:textId="77777777">
        <w:trPr>
          <w:trHeight w:val="545"/>
        </w:trPr>
        <w:tc>
          <w:tcPr>
            <w:tcW w:w="1242" w:type="dxa"/>
            <w:vAlign w:val="center"/>
          </w:tcPr>
          <w:p w14:paraId="718BF110"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8</w:t>
            </w:r>
          </w:p>
        </w:tc>
        <w:tc>
          <w:tcPr>
            <w:tcW w:w="1843" w:type="dxa"/>
            <w:vAlign w:val="center"/>
          </w:tcPr>
          <w:p w14:paraId="20ABE47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生命体征评估与护理</w:t>
            </w:r>
          </w:p>
        </w:tc>
        <w:tc>
          <w:tcPr>
            <w:tcW w:w="6306" w:type="dxa"/>
          </w:tcPr>
          <w:p w14:paraId="7D690B4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1.知道体温、脉搏、呼吸、血压的正常值及生理变化。</w:t>
            </w:r>
          </w:p>
          <w:p w14:paraId="41E2F01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体温过高、体温过低、稽留热、弛张热、间歇热、不规则热、心动过速、心动过缓、间歇脉、脉搏短绌、洪脉、细脉、交替脉、水冲脉、奇脉、高血压、低血压、呼吸增快、呼吸减慢、深度呼吸、潮式呼吸、间断呼吸、胸叩击、体位引流、吸痰法及氧气疗法的概念。</w:t>
            </w:r>
          </w:p>
          <w:p w14:paraId="3A21BD3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3.理解异常体温、脉搏、呼吸、血压及吸痰方法。</w:t>
            </w:r>
          </w:p>
          <w:p w14:paraId="3B656B9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4.能正确测量和记录体温、脉搏、呼吸、血压；对缺氧病人实施正确的氧气疗法。</w:t>
            </w:r>
          </w:p>
        </w:tc>
      </w:tr>
      <w:tr w:rsidR="003625DD" w14:paraId="14413863" w14:textId="77777777">
        <w:trPr>
          <w:trHeight w:val="545"/>
        </w:trPr>
        <w:tc>
          <w:tcPr>
            <w:tcW w:w="1242" w:type="dxa"/>
            <w:vAlign w:val="center"/>
          </w:tcPr>
          <w:p w14:paraId="05D1A895"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9</w:t>
            </w:r>
          </w:p>
        </w:tc>
        <w:tc>
          <w:tcPr>
            <w:tcW w:w="1843" w:type="dxa"/>
            <w:vAlign w:val="center"/>
          </w:tcPr>
          <w:p w14:paraId="573D0DC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冷热疗法</w:t>
            </w:r>
          </w:p>
        </w:tc>
        <w:tc>
          <w:tcPr>
            <w:tcW w:w="6306" w:type="dxa"/>
          </w:tcPr>
          <w:p w14:paraId="5C47821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1.知道冷、热疗法的生理效应和继发效应、影响冷、热疗法效果的因素。</w:t>
            </w:r>
          </w:p>
          <w:p w14:paraId="3E564F3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2.理解冷、热疗法、继发效应的概念、冷疗法和热疗法的禁忌、各种冷疗法、热疗法的目的和方法。</w:t>
            </w:r>
          </w:p>
          <w:p w14:paraId="10291CC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3.能运用所学知识正确选择并实施冷、热疗法。</w:t>
            </w:r>
          </w:p>
        </w:tc>
      </w:tr>
      <w:tr w:rsidR="003625DD" w14:paraId="1944E91E" w14:textId="77777777">
        <w:trPr>
          <w:trHeight w:val="545"/>
        </w:trPr>
        <w:tc>
          <w:tcPr>
            <w:tcW w:w="1242" w:type="dxa"/>
            <w:vAlign w:val="center"/>
          </w:tcPr>
          <w:p w14:paraId="251CF5C0"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10</w:t>
            </w:r>
          </w:p>
        </w:tc>
        <w:tc>
          <w:tcPr>
            <w:tcW w:w="1843" w:type="dxa"/>
            <w:vAlign w:val="center"/>
          </w:tcPr>
          <w:p w14:paraId="630C7AAC"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饮食护理</w:t>
            </w:r>
          </w:p>
        </w:tc>
        <w:tc>
          <w:tcPr>
            <w:tcW w:w="6306" w:type="dxa"/>
          </w:tcPr>
          <w:p w14:paraId="70CB13F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1.知道医院饮食的类别及各类饮食的种类、原则与适用范围。</w:t>
            </w:r>
          </w:p>
          <w:p w14:paraId="39C9D1C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2.知道鼻饲术的适应证、禁忌证及注意事项。</w:t>
            </w:r>
          </w:p>
          <w:p w14:paraId="0E80D00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3.理解治疗饮食、试验饮食、鼻饲法、要素饮食、胃肠外营养的概念。</w:t>
            </w:r>
          </w:p>
          <w:p w14:paraId="7EB95A2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4.理解要素饮食、胃肠外营养的并发症及注意事项。</w:t>
            </w:r>
          </w:p>
          <w:p w14:paraId="27C3B00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5.能规范地进行鼻饲法管喂饮食操作、能正确运用三种方法检查胃管是否在胃内。</w:t>
            </w:r>
          </w:p>
        </w:tc>
      </w:tr>
      <w:tr w:rsidR="003625DD" w14:paraId="5B0CE038" w14:textId="77777777">
        <w:trPr>
          <w:trHeight w:val="545"/>
        </w:trPr>
        <w:tc>
          <w:tcPr>
            <w:tcW w:w="1242" w:type="dxa"/>
            <w:vAlign w:val="center"/>
          </w:tcPr>
          <w:p w14:paraId="03AFDEF2"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11</w:t>
            </w:r>
          </w:p>
        </w:tc>
        <w:tc>
          <w:tcPr>
            <w:tcW w:w="1843" w:type="dxa"/>
            <w:vAlign w:val="center"/>
          </w:tcPr>
          <w:p w14:paraId="0D08A27D"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排泄护理</w:t>
            </w:r>
          </w:p>
        </w:tc>
        <w:tc>
          <w:tcPr>
            <w:tcW w:w="6306" w:type="dxa"/>
          </w:tcPr>
          <w:p w14:paraId="1F4E4E3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1.知道与排便、排尿有关的解剖和生理、尿液、粪便观察的主要内容。</w:t>
            </w:r>
          </w:p>
          <w:p w14:paraId="1A1B14F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2.理解多尿、少尿、无尿、膀胱刺激征、尿潴留、尿失禁、导尿术、便秘、腹泻、排便失禁、灌肠法及肛管排气的概念。</w:t>
            </w:r>
          </w:p>
          <w:p w14:paraId="1BFFBC5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3.理解影响排便、排尿的因素、导致排尿、排便异常的原因、留置导尿术病人的护理要点。</w:t>
            </w:r>
          </w:p>
          <w:p w14:paraId="3CE93E6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4.能规范完成导尿术、留置导尿术、大量不保留灌肠和保留灌肠的操作技术；能选择恰当的护理措施对排尿异常及排便异常病人进行护理。</w:t>
            </w:r>
          </w:p>
        </w:tc>
      </w:tr>
      <w:tr w:rsidR="003625DD" w14:paraId="7A215FB1" w14:textId="77777777">
        <w:trPr>
          <w:trHeight w:val="545"/>
        </w:trPr>
        <w:tc>
          <w:tcPr>
            <w:tcW w:w="1242" w:type="dxa"/>
            <w:vAlign w:val="center"/>
          </w:tcPr>
          <w:p w14:paraId="1802B18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12</w:t>
            </w:r>
          </w:p>
        </w:tc>
        <w:tc>
          <w:tcPr>
            <w:tcW w:w="1843" w:type="dxa"/>
            <w:vAlign w:val="center"/>
          </w:tcPr>
          <w:p w14:paraId="3A60E161"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给药护理</w:t>
            </w:r>
          </w:p>
        </w:tc>
        <w:tc>
          <w:tcPr>
            <w:tcW w:w="6306" w:type="dxa"/>
          </w:tcPr>
          <w:p w14:paraId="31B32A9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1.知道常用药物的种类和常用给药医嘱的外文缩写词、给药途径和给药原则。</w:t>
            </w:r>
          </w:p>
          <w:p w14:paraId="4174DED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lastRenderedPageBreak/>
              <w:t>2.知道注射原则、各种注射方法的目的、常用部位及注意事项。</w:t>
            </w:r>
          </w:p>
          <w:p w14:paraId="3B95694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3.知道常用过敏试验液的配制浓度、注入剂量和试验结果判断、青霉素过敏反应的原因和预防措施、破伤风抗毒素脱敏注射的原理和方法。</w:t>
            </w:r>
          </w:p>
          <w:p w14:paraId="6DF4586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4.理解口服给药法、注射法、皮内注射法、皮下注射法、肌内注射法、静脉注射、雾化吸入法、超声雾化吸入法、氧气雾化吸入法、过敏反应及破伤风抗毒素脱敏注射法的概念。</w:t>
            </w:r>
          </w:p>
          <w:p w14:paraId="51EF52A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5.理解药物保管的要求、不同性能药物口服时的注意事项、静脉注射失败的原因、青霉素过敏性休克的临床表现。</w:t>
            </w:r>
          </w:p>
          <w:p w14:paraId="6543EE7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6.能以正确的方法完成各种注射法、超声雾化吸入法、氧气雾化吸入法的操作。</w:t>
            </w:r>
          </w:p>
        </w:tc>
      </w:tr>
      <w:tr w:rsidR="003625DD" w14:paraId="4C0380E3" w14:textId="77777777">
        <w:trPr>
          <w:trHeight w:val="545"/>
        </w:trPr>
        <w:tc>
          <w:tcPr>
            <w:tcW w:w="1242" w:type="dxa"/>
            <w:vAlign w:val="center"/>
          </w:tcPr>
          <w:p w14:paraId="6D60F62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13</w:t>
            </w:r>
          </w:p>
        </w:tc>
        <w:tc>
          <w:tcPr>
            <w:tcW w:w="1843" w:type="dxa"/>
            <w:vAlign w:val="center"/>
          </w:tcPr>
          <w:p w14:paraId="3BD0CCFA"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输液与输血</w:t>
            </w:r>
          </w:p>
        </w:tc>
        <w:tc>
          <w:tcPr>
            <w:tcW w:w="6306" w:type="dxa"/>
          </w:tcPr>
          <w:p w14:paraId="5454685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1.知道静脉输液的目的、静脉补液应遵循的原则、常见输液障碍的种类。</w:t>
            </w:r>
          </w:p>
          <w:p w14:paraId="4532A89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2.知道静脉输血的目的和原则、自体输血的优点、成分输血的特点。</w:t>
            </w:r>
          </w:p>
          <w:p w14:paraId="4379A4E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3.理解静脉输液、输液微粒、输液微粒污染、密闭式输液法、开放式输液法、静脉输血、间接输血法、直接输血法、血型、ABO血型鉴定、直接交叉配</w:t>
            </w:r>
            <w:proofErr w:type="gramStart"/>
            <w:r>
              <w:rPr>
                <w:rFonts w:ascii="宋体" w:eastAsia="宋体" w:hAnsi="宋体" w:cs="Times New Roman" w:hint="eastAsia"/>
                <w:color w:val="000000"/>
                <w:szCs w:val="21"/>
              </w:rPr>
              <w:t>血试验</w:t>
            </w:r>
            <w:proofErr w:type="gramEnd"/>
            <w:r>
              <w:rPr>
                <w:rFonts w:ascii="宋体" w:eastAsia="宋体" w:hAnsi="宋体" w:cs="Times New Roman" w:hint="eastAsia"/>
                <w:color w:val="000000"/>
                <w:szCs w:val="21"/>
              </w:rPr>
              <w:t>及间接交叉配</w:t>
            </w:r>
            <w:proofErr w:type="gramStart"/>
            <w:r>
              <w:rPr>
                <w:rFonts w:ascii="宋体" w:eastAsia="宋体" w:hAnsi="宋体" w:cs="Times New Roman" w:hint="eastAsia"/>
                <w:color w:val="000000"/>
                <w:szCs w:val="21"/>
              </w:rPr>
              <w:t>血试验</w:t>
            </w:r>
            <w:proofErr w:type="gramEnd"/>
            <w:r>
              <w:rPr>
                <w:rFonts w:ascii="宋体" w:eastAsia="宋体" w:hAnsi="宋体" w:cs="Times New Roman" w:hint="eastAsia"/>
                <w:color w:val="000000"/>
                <w:szCs w:val="21"/>
              </w:rPr>
              <w:t>的概念。</w:t>
            </w:r>
          </w:p>
          <w:p w14:paraId="2CB8372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4.理解静脉输液的原理、常用溶液的种类及作用、周围静脉输液法、静脉输血法及成分输血的注意事项、输液过程中</w:t>
            </w:r>
            <w:proofErr w:type="gramStart"/>
            <w:r>
              <w:rPr>
                <w:rFonts w:ascii="宋体" w:eastAsia="宋体" w:hAnsi="宋体" w:cs="Times New Roman" w:hint="eastAsia"/>
                <w:color w:val="000000"/>
                <w:szCs w:val="21"/>
              </w:rPr>
              <w:t>溶液不滴的</w:t>
            </w:r>
            <w:proofErr w:type="gramEnd"/>
            <w:r>
              <w:rPr>
                <w:rFonts w:ascii="宋体" w:eastAsia="宋体" w:hAnsi="宋体" w:cs="Times New Roman" w:hint="eastAsia"/>
                <w:color w:val="000000"/>
                <w:szCs w:val="21"/>
              </w:rPr>
              <w:t>原因、常见输液反应及常见输血反应的原因、各种血液制品的种类及作用。</w:t>
            </w:r>
          </w:p>
          <w:p w14:paraId="3228384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5.能正确计算静脉输液的速度和时间；能用正确的方法排除输液过程中出现的各种障碍。</w:t>
            </w:r>
          </w:p>
        </w:tc>
      </w:tr>
      <w:tr w:rsidR="003625DD" w14:paraId="06439661" w14:textId="77777777">
        <w:trPr>
          <w:trHeight w:val="545"/>
        </w:trPr>
        <w:tc>
          <w:tcPr>
            <w:tcW w:w="1242" w:type="dxa"/>
            <w:vAlign w:val="center"/>
          </w:tcPr>
          <w:p w14:paraId="3D746BC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14</w:t>
            </w:r>
          </w:p>
        </w:tc>
        <w:tc>
          <w:tcPr>
            <w:tcW w:w="1843" w:type="dxa"/>
            <w:vAlign w:val="center"/>
          </w:tcPr>
          <w:p w14:paraId="365810BB"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标本采集</w:t>
            </w:r>
          </w:p>
        </w:tc>
        <w:tc>
          <w:tcPr>
            <w:tcW w:w="6306" w:type="dxa"/>
          </w:tcPr>
          <w:p w14:paraId="6B86A26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1.知道标本采集的基本原则、血液标本、尿液标本、粪便标本、痰液标本及咽拭子标本采集的目的及注意事项。</w:t>
            </w:r>
          </w:p>
          <w:p w14:paraId="271267A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2.知道留取12小时或24小时尿标本常用防腐剂的种类、作用与用法。</w:t>
            </w:r>
          </w:p>
          <w:p w14:paraId="081E1CCD"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3.理解不同类型的静脉血标本采集的目的、采血量、方法及标本容器选择的不同点。</w:t>
            </w:r>
          </w:p>
        </w:tc>
      </w:tr>
      <w:tr w:rsidR="003625DD" w14:paraId="306D8BBC" w14:textId="77777777">
        <w:trPr>
          <w:trHeight w:val="545"/>
        </w:trPr>
        <w:tc>
          <w:tcPr>
            <w:tcW w:w="1242" w:type="dxa"/>
            <w:vAlign w:val="center"/>
          </w:tcPr>
          <w:p w14:paraId="69ECB9A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15</w:t>
            </w:r>
          </w:p>
        </w:tc>
        <w:tc>
          <w:tcPr>
            <w:tcW w:w="1843" w:type="dxa"/>
            <w:vAlign w:val="center"/>
          </w:tcPr>
          <w:p w14:paraId="399B91F7"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病情观察及危重病人管理</w:t>
            </w:r>
          </w:p>
        </w:tc>
        <w:tc>
          <w:tcPr>
            <w:tcW w:w="6306" w:type="dxa"/>
          </w:tcPr>
          <w:p w14:paraId="203B771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1.知道病情观察的内容及方法、洗胃的目的、常用洗胃溶液、简易呼吸器的操作要点。</w:t>
            </w:r>
          </w:p>
          <w:p w14:paraId="2454765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2.理解意识状态、意识障碍、轻度昏迷、深度昏迷、洗胃的概念、意识障碍的种类、洗胃的注意事项。</w:t>
            </w:r>
          </w:p>
          <w:p w14:paraId="574C97E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3.能按照正确的原则和方法完成洗胃法、简易人工呼吸器的操作。</w:t>
            </w:r>
          </w:p>
        </w:tc>
      </w:tr>
      <w:tr w:rsidR="003625DD" w14:paraId="449AA2C4" w14:textId="77777777">
        <w:trPr>
          <w:trHeight w:val="545"/>
        </w:trPr>
        <w:tc>
          <w:tcPr>
            <w:tcW w:w="1242" w:type="dxa"/>
            <w:vAlign w:val="center"/>
          </w:tcPr>
          <w:p w14:paraId="759671F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16</w:t>
            </w:r>
          </w:p>
        </w:tc>
        <w:tc>
          <w:tcPr>
            <w:tcW w:w="1843" w:type="dxa"/>
            <w:vAlign w:val="center"/>
          </w:tcPr>
          <w:p w14:paraId="279E827F"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临终护理</w:t>
            </w:r>
          </w:p>
        </w:tc>
        <w:tc>
          <w:tcPr>
            <w:tcW w:w="6306" w:type="dxa"/>
          </w:tcPr>
          <w:p w14:paraId="0701088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1.知道脑死亡的诊断标准、临终病人各阶段的生理评估</w:t>
            </w:r>
            <w:proofErr w:type="gramStart"/>
            <w:r>
              <w:rPr>
                <w:rFonts w:ascii="宋体" w:eastAsia="宋体" w:hAnsi="宋体" w:cs="Times New Roman" w:hint="eastAsia"/>
                <w:color w:val="000000"/>
                <w:szCs w:val="21"/>
              </w:rPr>
              <w:t>內</w:t>
            </w:r>
            <w:proofErr w:type="gramEnd"/>
            <w:r>
              <w:rPr>
                <w:rFonts w:ascii="宋体" w:eastAsia="宋体" w:hAnsi="宋体" w:cs="Times New Roman" w:hint="eastAsia"/>
                <w:color w:val="000000"/>
                <w:szCs w:val="21"/>
              </w:rPr>
              <w:t>容、濒死病人的临床表现及死亡诊断依据。</w:t>
            </w:r>
          </w:p>
          <w:p w14:paraId="4DAFB91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2.理解临终关怀、死亡教育、濒死、脑死亡的概念、临终关怀的理念、死亡过程各期的表现和特点、临终病人的护理原则、临终病人的各个心理反应期。</w:t>
            </w:r>
          </w:p>
          <w:p w14:paraId="695D8A9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3.能为临终病人及家属提供身心支持；能按正确的操作规程对逝者进行尸体料理。</w:t>
            </w:r>
          </w:p>
        </w:tc>
      </w:tr>
    </w:tbl>
    <w:p w14:paraId="7B62FFDB"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1FFE7FC7"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0178BBA8"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五、参考教材</w:t>
      </w:r>
    </w:p>
    <w:p w14:paraId="0FC3BEA7" w14:textId="77777777" w:rsidR="003625DD" w:rsidRDefault="003625DD">
      <w:pPr>
        <w:pStyle w:val="a7"/>
        <w:widowControl/>
        <w:shd w:val="clear" w:color="auto" w:fill="FFFFFF"/>
        <w:adjustRightInd w:val="0"/>
        <w:snapToGrid w:val="0"/>
        <w:spacing w:beforeAutospacing="0" w:afterAutospacing="0" w:line="360" w:lineRule="auto"/>
        <w:rPr>
          <w:rFonts w:cstheme="minorBidi"/>
          <w:kern w:val="2"/>
          <w:sz w:val="21"/>
          <w:szCs w:val="22"/>
        </w:rPr>
      </w:pPr>
    </w:p>
    <w:p w14:paraId="6375BCFF" w14:textId="47FA4311" w:rsidR="003625DD" w:rsidRDefault="001D54ED">
      <w:pPr>
        <w:pStyle w:val="a7"/>
        <w:widowControl/>
        <w:shd w:val="clear" w:color="auto" w:fill="FFFFFF"/>
        <w:adjustRightInd w:val="0"/>
        <w:snapToGrid w:val="0"/>
        <w:spacing w:beforeAutospacing="0" w:afterAutospacing="0" w:line="360" w:lineRule="auto"/>
        <w:rPr>
          <w:rFonts w:cstheme="minorBidi"/>
          <w:kern w:val="2"/>
          <w:sz w:val="21"/>
          <w:szCs w:val="22"/>
        </w:rPr>
      </w:pPr>
      <w:r w:rsidRPr="009E7416">
        <w:rPr>
          <w:noProof/>
          <w:highlight w:val="yellow"/>
        </w:rPr>
        <w:drawing>
          <wp:anchor distT="0" distB="0" distL="114300" distR="114300" simplePos="0" relativeHeight="251656704" behindDoc="1" locked="0" layoutInCell="1" allowOverlap="1" wp14:anchorId="7F1483D9" wp14:editId="7C4EF92A">
            <wp:simplePos x="0" y="0"/>
            <wp:positionH relativeFrom="column">
              <wp:posOffset>1905</wp:posOffset>
            </wp:positionH>
            <wp:positionV relativeFrom="paragraph">
              <wp:posOffset>314325</wp:posOffset>
            </wp:positionV>
            <wp:extent cx="3937635" cy="2729230"/>
            <wp:effectExtent l="0" t="0" r="5715" b="0"/>
            <wp:wrapTopAndBottom/>
            <wp:docPr id="1" name="图片 1" descr="图片包含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日程表&#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7635" cy="272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8DD">
        <w:rPr>
          <w:rFonts w:cstheme="minorBidi" w:hint="eastAsia"/>
          <w:kern w:val="2"/>
          <w:sz w:val="21"/>
          <w:szCs w:val="22"/>
        </w:rPr>
        <w:t>1.</w:t>
      </w:r>
      <w:r w:rsidR="002618DD">
        <w:rPr>
          <w:rFonts w:cstheme="minorBidi" w:hint="eastAsia"/>
          <w:kern w:val="2"/>
          <w:sz w:val="21"/>
          <w:szCs w:val="22"/>
        </w:rPr>
        <w:t>护理学导论（第</w:t>
      </w:r>
      <w:r w:rsidR="002618DD">
        <w:rPr>
          <w:rFonts w:cstheme="minorBidi" w:hint="eastAsia"/>
          <w:kern w:val="2"/>
          <w:sz w:val="21"/>
          <w:szCs w:val="22"/>
        </w:rPr>
        <w:t>4</w:t>
      </w:r>
      <w:r w:rsidR="002618DD">
        <w:rPr>
          <w:rFonts w:cstheme="minorBidi" w:hint="eastAsia"/>
          <w:kern w:val="2"/>
          <w:sz w:val="21"/>
          <w:szCs w:val="22"/>
        </w:rPr>
        <w:t>版），李小妹、冯先琼主编，人民卫生出版社，</w:t>
      </w:r>
      <w:r w:rsidR="002618DD">
        <w:rPr>
          <w:rFonts w:cstheme="minorBidi" w:hint="eastAsia"/>
          <w:kern w:val="2"/>
          <w:sz w:val="21"/>
          <w:szCs w:val="22"/>
        </w:rPr>
        <w:t>2017</w:t>
      </w:r>
      <w:r w:rsidR="002618DD">
        <w:rPr>
          <w:rFonts w:cstheme="minorBidi" w:hint="eastAsia"/>
          <w:kern w:val="2"/>
          <w:sz w:val="21"/>
          <w:szCs w:val="22"/>
        </w:rPr>
        <w:t>年</w:t>
      </w:r>
      <w:r w:rsidR="002618DD">
        <w:rPr>
          <w:rFonts w:cstheme="minorBidi" w:hint="eastAsia"/>
          <w:kern w:val="2"/>
          <w:sz w:val="21"/>
          <w:szCs w:val="22"/>
        </w:rPr>
        <w:t>6</w:t>
      </w:r>
      <w:r w:rsidR="002618DD">
        <w:rPr>
          <w:rFonts w:cstheme="minorBidi" w:hint="eastAsia"/>
          <w:kern w:val="2"/>
          <w:sz w:val="21"/>
          <w:szCs w:val="22"/>
        </w:rPr>
        <w:t>月</w:t>
      </w:r>
    </w:p>
    <w:p w14:paraId="36E06E0C" w14:textId="777D5512" w:rsidR="003625DD" w:rsidRDefault="001D54ED">
      <w:pPr>
        <w:pStyle w:val="a7"/>
        <w:widowControl/>
        <w:shd w:val="clear" w:color="auto" w:fill="FFFFFF"/>
        <w:adjustRightInd w:val="0"/>
        <w:snapToGrid w:val="0"/>
        <w:spacing w:beforeAutospacing="0" w:afterAutospacing="0" w:line="360" w:lineRule="auto"/>
        <w:rPr>
          <w:rFonts w:cstheme="minorBidi"/>
          <w:kern w:val="2"/>
          <w:sz w:val="21"/>
          <w:szCs w:val="22"/>
        </w:rPr>
      </w:pPr>
      <w:r w:rsidRPr="009E7416">
        <w:rPr>
          <w:noProof/>
          <w:highlight w:val="yellow"/>
        </w:rPr>
        <w:drawing>
          <wp:anchor distT="0" distB="0" distL="114300" distR="114300" simplePos="0" relativeHeight="251659776" behindDoc="0" locked="0" layoutInCell="1" allowOverlap="1" wp14:anchorId="71FC81D0" wp14:editId="261ACD4F">
            <wp:simplePos x="0" y="0"/>
            <wp:positionH relativeFrom="column">
              <wp:posOffset>51435</wp:posOffset>
            </wp:positionH>
            <wp:positionV relativeFrom="paragraph">
              <wp:posOffset>3070225</wp:posOffset>
            </wp:positionV>
            <wp:extent cx="3888105" cy="2671445"/>
            <wp:effectExtent l="0" t="0" r="0" b="0"/>
            <wp:wrapTopAndBottom/>
            <wp:docPr id="2" name="图片 2" descr="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日程表&#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8105" cy="267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8DD">
        <w:rPr>
          <w:rFonts w:cstheme="minorBidi" w:hint="eastAsia"/>
          <w:kern w:val="2"/>
          <w:sz w:val="21"/>
          <w:szCs w:val="22"/>
        </w:rPr>
        <w:t>2.</w:t>
      </w:r>
      <w:r w:rsidR="002618DD">
        <w:rPr>
          <w:rFonts w:cstheme="minorBidi" w:hint="eastAsia"/>
          <w:kern w:val="2"/>
          <w:sz w:val="21"/>
          <w:szCs w:val="22"/>
        </w:rPr>
        <w:t>基础护理学（第</w:t>
      </w:r>
      <w:r w:rsidR="002618DD">
        <w:rPr>
          <w:rFonts w:cstheme="minorBidi" w:hint="eastAsia"/>
          <w:kern w:val="2"/>
          <w:sz w:val="21"/>
          <w:szCs w:val="22"/>
        </w:rPr>
        <w:t>6</w:t>
      </w:r>
      <w:r w:rsidR="002618DD">
        <w:rPr>
          <w:rFonts w:cstheme="minorBidi" w:hint="eastAsia"/>
          <w:kern w:val="2"/>
          <w:sz w:val="21"/>
          <w:szCs w:val="22"/>
        </w:rPr>
        <w:t>版），李小寒、尚少梅主编，人民卫生出版社，</w:t>
      </w:r>
      <w:r w:rsidR="002618DD">
        <w:rPr>
          <w:rFonts w:cstheme="minorBidi" w:hint="eastAsia"/>
          <w:kern w:val="2"/>
          <w:sz w:val="21"/>
          <w:szCs w:val="22"/>
        </w:rPr>
        <w:t>2017</w:t>
      </w:r>
      <w:r w:rsidR="002618DD">
        <w:rPr>
          <w:rFonts w:cstheme="minorBidi" w:hint="eastAsia"/>
          <w:kern w:val="2"/>
          <w:sz w:val="21"/>
          <w:szCs w:val="22"/>
        </w:rPr>
        <w:t>年</w:t>
      </w:r>
      <w:r w:rsidR="002618DD">
        <w:rPr>
          <w:rFonts w:cstheme="minorBidi" w:hint="eastAsia"/>
          <w:kern w:val="2"/>
          <w:sz w:val="21"/>
          <w:szCs w:val="22"/>
        </w:rPr>
        <w:t>6</w:t>
      </w:r>
      <w:r w:rsidR="002618DD">
        <w:rPr>
          <w:rFonts w:cstheme="minorBidi" w:hint="eastAsia"/>
          <w:kern w:val="2"/>
          <w:sz w:val="21"/>
          <w:szCs w:val="22"/>
        </w:rPr>
        <w:t>月</w:t>
      </w:r>
    </w:p>
    <w:p w14:paraId="3C79D504" w14:textId="4EFDBE60" w:rsidR="001D54ED" w:rsidRPr="001D54ED" w:rsidRDefault="001D54ED">
      <w:pPr>
        <w:pStyle w:val="a7"/>
        <w:widowControl/>
        <w:shd w:val="clear" w:color="auto" w:fill="FFFFFF"/>
        <w:adjustRightInd w:val="0"/>
        <w:snapToGrid w:val="0"/>
        <w:spacing w:beforeAutospacing="0" w:afterAutospacing="0" w:line="360" w:lineRule="auto"/>
        <w:rPr>
          <w:rFonts w:cstheme="minorBidi" w:hint="eastAsia"/>
          <w:kern w:val="2"/>
          <w:sz w:val="21"/>
          <w:szCs w:val="22"/>
        </w:rPr>
      </w:pPr>
    </w:p>
    <w:sectPr w:rsidR="001D54ED" w:rsidRPr="001D5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878"/>
    <w:rsid w:val="0001307E"/>
    <w:rsid w:val="0001308C"/>
    <w:rsid w:val="000143FF"/>
    <w:rsid w:val="0001733B"/>
    <w:rsid w:val="00022C76"/>
    <w:rsid w:val="0002726F"/>
    <w:rsid w:val="00042C7C"/>
    <w:rsid w:val="000440EE"/>
    <w:rsid w:val="0005073A"/>
    <w:rsid w:val="00063484"/>
    <w:rsid w:val="00073A26"/>
    <w:rsid w:val="000D1335"/>
    <w:rsid w:val="000D6349"/>
    <w:rsid w:val="000F5DEC"/>
    <w:rsid w:val="00110D5B"/>
    <w:rsid w:val="00121134"/>
    <w:rsid w:val="0012411D"/>
    <w:rsid w:val="001507C0"/>
    <w:rsid w:val="00150BC8"/>
    <w:rsid w:val="00166F0B"/>
    <w:rsid w:val="00167B59"/>
    <w:rsid w:val="00167EE5"/>
    <w:rsid w:val="001723F7"/>
    <w:rsid w:val="00173F30"/>
    <w:rsid w:val="0019765F"/>
    <w:rsid w:val="001C5274"/>
    <w:rsid w:val="001D54ED"/>
    <w:rsid w:val="001E281B"/>
    <w:rsid w:val="001F2DA8"/>
    <w:rsid w:val="002121DD"/>
    <w:rsid w:val="002163F6"/>
    <w:rsid w:val="0022721C"/>
    <w:rsid w:val="002334CF"/>
    <w:rsid w:val="0025351A"/>
    <w:rsid w:val="002618DD"/>
    <w:rsid w:val="00261DF7"/>
    <w:rsid w:val="00264507"/>
    <w:rsid w:val="002719D4"/>
    <w:rsid w:val="002900BD"/>
    <w:rsid w:val="002C0849"/>
    <w:rsid w:val="002C5D04"/>
    <w:rsid w:val="002D2699"/>
    <w:rsid w:val="00313E63"/>
    <w:rsid w:val="003254B9"/>
    <w:rsid w:val="003276F7"/>
    <w:rsid w:val="00332FA6"/>
    <w:rsid w:val="00337751"/>
    <w:rsid w:val="003625DD"/>
    <w:rsid w:val="003752F7"/>
    <w:rsid w:val="0039241C"/>
    <w:rsid w:val="00393DC7"/>
    <w:rsid w:val="003C1D78"/>
    <w:rsid w:val="003D74A2"/>
    <w:rsid w:val="003E2C15"/>
    <w:rsid w:val="00410D19"/>
    <w:rsid w:val="00434FE2"/>
    <w:rsid w:val="00444B86"/>
    <w:rsid w:val="00451F73"/>
    <w:rsid w:val="00452A2D"/>
    <w:rsid w:val="004717C9"/>
    <w:rsid w:val="004970CA"/>
    <w:rsid w:val="004D2294"/>
    <w:rsid w:val="004D28F5"/>
    <w:rsid w:val="004F2835"/>
    <w:rsid w:val="005006F3"/>
    <w:rsid w:val="00502C39"/>
    <w:rsid w:val="00547139"/>
    <w:rsid w:val="005477E4"/>
    <w:rsid w:val="00564B16"/>
    <w:rsid w:val="00566C3C"/>
    <w:rsid w:val="00570A26"/>
    <w:rsid w:val="00581E7E"/>
    <w:rsid w:val="0059385C"/>
    <w:rsid w:val="005C23C6"/>
    <w:rsid w:val="005E0278"/>
    <w:rsid w:val="005E5878"/>
    <w:rsid w:val="00623F5C"/>
    <w:rsid w:val="00624D59"/>
    <w:rsid w:val="00625421"/>
    <w:rsid w:val="006267E3"/>
    <w:rsid w:val="006415FD"/>
    <w:rsid w:val="0066361E"/>
    <w:rsid w:val="00671DAE"/>
    <w:rsid w:val="00672B59"/>
    <w:rsid w:val="00677BE5"/>
    <w:rsid w:val="00687002"/>
    <w:rsid w:val="006A5ED5"/>
    <w:rsid w:val="006B66C3"/>
    <w:rsid w:val="006B7ADD"/>
    <w:rsid w:val="006D7849"/>
    <w:rsid w:val="00701045"/>
    <w:rsid w:val="00723A17"/>
    <w:rsid w:val="00745E95"/>
    <w:rsid w:val="0077654F"/>
    <w:rsid w:val="00776F25"/>
    <w:rsid w:val="00795899"/>
    <w:rsid w:val="007B64BE"/>
    <w:rsid w:val="007D4516"/>
    <w:rsid w:val="00807C25"/>
    <w:rsid w:val="00814EDD"/>
    <w:rsid w:val="00862F80"/>
    <w:rsid w:val="00864B72"/>
    <w:rsid w:val="00873CEF"/>
    <w:rsid w:val="00874FE8"/>
    <w:rsid w:val="008832A7"/>
    <w:rsid w:val="008846BF"/>
    <w:rsid w:val="008E4B3B"/>
    <w:rsid w:val="008F5485"/>
    <w:rsid w:val="009158FD"/>
    <w:rsid w:val="00941903"/>
    <w:rsid w:val="0094432A"/>
    <w:rsid w:val="009449C2"/>
    <w:rsid w:val="009479A4"/>
    <w:rsid w:val="00961A56"/>
    <w:rsid w:val="0096249E"/>
    <w:rsid w:val="00964C60"/>
    <w:rsid w:val="00967B52"/>
    <w:rsid w:val="009C7624"/>
    <w:rsid w:val="009E3038"/>
    <w:rsid w:val="00A04D72"/>
    <w:rsid w:val="00A04F45"/>
    <w:rsid w:val="00A319E6"/>
    <w:rsid w:val="00A3469A"/>
    <w:rsid w:val="00A45ED6"/>
    <w:rsid w:val="00A466C8"/>
    <w:rsid w:val="00A6027C"/>
    <w:rsid w:val="00A87AC9"/>
    <w:rsid w:val="00A90E55"/>
    <w:rsid w:val="00A91F9C"/>
    <w:rsid w:val="00AB6A4B"/>
    <w:rsid w:val="00B27BD3"/>
    <w:rsid w:val="00B5370E"/>
    <w:rsid w:val="00B71A55"/>
    <w:rsid w:val="00B82AF1"/>
    <w:rsid w:val="00B94822"/>
    <w:rsid w:val="00BB6549"/>
    <w:rsid w:val="00BB7088"/>
    <w:rsid w:val="00BC1BDD"/>
    <w:rsid w:val="00BC4A81"/>
    <w:rsid w:val="00BC55D5"/>
    <w:rsid w:val="00BC6433"/>
    <w:rsid w:val="00BE1719"/>
    <w:rsid w:val="00BE237E"/>
    <w:rsid w:val="00BF5716"/>
    <w:rsid w:val="00C06A50"/>
    <w:rsid w:val="00C16247"/>
    <w:rsid w:val="00C24B25"/>
    <w:rsid w:val="00C345D2"/>
    <w:rsid w:val="00C4527F"/>
    <w:rsid w:val="00C554F3"/>
    <w:rsid w:val="00C571CD"/>
    <w:rsid w:val="00C72DCF"/>
    <w:rsid w:val="00CD03F0"/>
    <w:rsid w:val="00CD0462"/>
    <w:rsid w:val="00CD4AB2"/>
    <w:rsid w:val="00D05DBE"/>
    <w:rsid w:val="00D2092B"/>
    <w:rsid w:val="00D224A8"/>
    <w:rsid w:val="00D225F2"/>
    <w:rsid w:val="00D944BF"/>
    <w:rsid w:val="00DA2FA3"/>
    <w:rsid w:val="00DB344C"/>
    <w:rsid w:val="00DC2850"/>
    <w:rsid w:val="00DC51BA"/>
    <w:rsid w:val="00DE05DB"/>
    <w:rsid w:val="00DE6503"/>
    <w:rsid w:val="00DF74AE"/>
    <w:rsid w:val="00E02DFD"/>
    <w:rsid w:val="00E05884"/>
    <w:rsid w:val="00E35E3D"/>
    <w:rsid w:val="00E45529"/>
    <w:rsid w:val="00E62C57"/>
    <w:rsid w:val="00E63BAE"/>
    <w:rsid w:val="00E65499"/>
    <w:rsid w:val="00E73B6C"/>
    <w:rsid w:val="00E935BF"/>
    <w:rsid w:val="00EC45AB"/>
    <w:rsid w:val="00ED297D"/>
    <w:rsid w:val="00ED3855"/>
    <w:rsid w:val="00EE7EA2"/>
    <w:rsid w:val="00F10A5E"/>
    <w:rsid w:val="00F40D62"/>
    <w:rsid w:val="00F441B9"/>
    <w:rsid w:val="00F56B8C"/>
    <w:rsid w:val="00F7770D"/>
    <w:rsid w:val="00F86400"/>
    <w:rsid w:val="00F90E43"/>
    <w:rsid w:val="00F97763"/>
    <w:rsid w:val="00FC1EED"/>
    <w:rsid w:val="00FF2DE9"/>
    <w:rsid w:val="0673165A"/>
    <w:rsid w:val="081E6AF7"/>
    <w:rsid w:val="0AC53E4B"/>
    <w:rsid w:val="0ADE3811"/>
    <w:rsid w:val="0C8046FD"/>
    <w:rsid w:val="0D2D35F4"/>
    <w:rsid w:val="0EBD1AFA"/>
    <w:rsid w:val="0F1D274F"/>
    <w:rsid w:val="0F396F9C"/>
    <w:rsid w:val="0F8B530D"/>
    <w:rsid w:val="0FF84C8B"/>
    <w:rsid w:val="10EE6245"/>
    <w:rsid w:val="150B6938"/>
    <w:rsid w:val="152F3B71"/>
    <w:rsid w:val="16930C31"/>
    <w:rsid w:val="1704552D"/>
    <w:rsid w:val="17FF3092"/>
    <w:rsid w:val="1812668F"/>
    <w:rsid w:val="19C53DFD"/>
    <w:rsid w:val="1A854546"/>
    <w:rsid w:val="1B0937A6"/>
    <w:rsid w:val="1B91519E"/>
    <w:rsid w:val="1CFC1ED6"/>
    <w:rsid w:val="1DB454BE"/>
    <w:rsid w:val="27D554EB"/>
    <w:rsid w:val="28D67436"/>
    <w:rsid w:val="28EB3986"/>
    <w:rsid w:val="2ACE691D"/>
    <w:rsid w:val="2CA42059"/>
    <w:rsid w:val="2E3B15FD"/>
    <w:rsid w:val="2E442531"/>
    <w:rsid w:val="2E653189"/>
    <w:rsid w:val="2EAF4402"/>
    <w:rsid w:val="2F4F613C"/>
    <w:rsid w:val="32570C33"/>
    <w:rsid w:val="32EA55DC"/>
    <w:rsid w:val="34E951E4"/>
    <w:rsid w:val="35BD6AB8"/>
    <w:rsid w:val="38090E2E"/>
    <w:rsid w:val="393D1E1C"/>
    <w:rsid w:val="3C385645"/>
    <w:rsid w:val="3C7655BB"/>
    <w:rsid w:val="3E356E61"/>
    <w:rsid w:val="3FED0F9C"/>
    <w:rsid w:val="406E6BFE"/>
    <w:rsid w:val="423D3AFC"/>
    <w:rsid w:val="45EE7846"/>
    <w:rsid w:val="467B7F86"/>
    <w:rsid w:val="47D71308"/>
    <w:rsid w:val="4A815C72"/>
    <w:rsid w:val="4B032EF5"/>
    <w:rsid w:val="501D5F2B"/>
    <w:rsid w:val="515130D3"/>
    <w:rsid w:val="52F83502"/>
    <w:rsid w:val="54832CD1"/>
    <w:rsid w:val="54935E30"/>
    <w:rsid w:val="54B126B9"/>
    <w:rsid w:val="584009E3"/>
    <w:rsid w:val="59163AED"/>
    <w:rsid w:val="596F5BCA"/>
    <w:rsid w:val="5B4B594E"/>
    <w:rsid w:val="5D4E3166"/>
    <w:rsid w:val="5D743741"/>
    <w:rsid w:val="5F1F022E"/>
    <w:rsid w:val="61987926"/>
    <w:rsid w:val="61AD4BCD"/>
    <w:rsid w:val="63C32509"/>
    <w:rsid w:val="64627D8F"/>
    <w:rsid w:val="65667E1F"/>
    <w:rsid w:val="6DC07669"/>
    <w:rsid w:val="70160A69"/>
    <w:rsid w:val="731D6043"/>
    <w:rsid w:val="7919236E"/>
    <w:rsid w:val="7B4F1014"/>
    <w:rsid w:val="7B54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7CA16"/>
  <w15:docId w15:val="{4A68C541-26AC-4C96-BABA-E1829F88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宋体" w:eastAsia="宋体" w:hAnsi="宋体" w:cs="Times New Roman"/>
      <w:b/>
      <w:kern w:val="44"/>
      <w:sz w:val="48"/>
      <w:szCs w:val="4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664</Words>
  <Characters>3791</Characters>
  <Application>Microsoft Office Word</Application>
  <DocSecurity>0</DocSecurity>
  <Lines>31</Lines>
  <Paragraphs>8</Paragraphs>
  <ScaleCrop>false</ScaleCrop>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钟 子健</cp:lastModifiedBy>
  <cp:revision>573</cp:revision>
  <dcterms:created xsi:type="dcterms:W3CDTF">2021-03-22T01:42:00Z</dcterms:created>
  <dcterms:modified xsi:type="dcterms:W3CDTF">2021-12-09T05:06:00Z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