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C64" w14:textId="139B5A73" w:rsidR="004120DC" w:rsidRPr="00920B9F" w:rsidRDefault="00166190">
      <w:pPr>
        <w:jc w:val="center"/>
        <w:rPr>
          <w:rFonts w:ascii="黑体" w:eastAsia="黑体" w:hAnsi="黑体" w:cs="Times New Roman"/>
          <w:sz w:val="36"/>
          <w:szCs w:val="32"/>
        </w:rPr>
      </w:pPr>
      <w:r w:rsidRPr="00920B9F">
        <w:rPr>
          <w:rFonts w:ascii="黑体" w:eastAsia="黑体" w:hAnsi="黑体" w:cs="Times New Roman"/>
          <w:sz w:val="36"/>
          <w:szCs w:val="32"/>
        </w:rPr>
        <w:t>20</w:t>
      </w:r>
      <w:r w:rsidR="0092513D" w:rsidRPr="00920B9F">
        <w:rPr>
          <w:rFonts w:ascii="黑体" w:eastAsia="黑体" w:hAnsi="黑体" w:cs="Times New Roman" w:hint="eastAsia"/>
          <w:sz w:val="36"/>
          <w:szCs w:val="32"/>
        </w:rPr>
        <w:t>2</w:t>
      </w:r>
      <w:r w:rsidR="0003770A">
        <w:rPr>
          <w:rFonts w:ascii="黑体" w:eastAsia="黑体" w:hAnsi="黑体" w:cs="Times New Roman"/>
          <w:sz w:val="36"/>
          <w:szCs w:val="32"/>
        </w:rPr>
        <w:t>2</w:t>
      </w:r>
      <w:r w:rsidRPr="00920B9F">
        <w:rPr>
          <w:rFonts w:ascii="黑体" w:eastAsia="黑体" w:hAnsi="黑体" w:cs="Times New Roman"/>
          <w:sz w:val="36"/>
          <w:szCs w:val="32"/>
        </w:rPr>
        <w:t>年上海商学院财务管理专业专升本招生考试</w:t>
      </w:r>
    </w:p>
    <w:p w14:paraId="01A736E6" w14:textId="77777777" w:rsidR="004120DC" w:rsidRPr="00920B9F" w:rsidRDefault="00166190">
      <w:pPr>
        <w:jc w:val="center"/>
        <w:rPr>
          <w:rFonts w:ascii="黑体" w:eastAsia="黑体" w:hAnsi="黑体" w:cs="Times New Roman"/>
          <w:sz w:val="36"/>
          <w:szCs w:val="32"/>
        </w:rPr>
      </w:pPr>
      <w:r w:rsidRPr="00920B9F">
        <w:rPr>
          <w:rFonts w:ascii="黑体" w:eastAsia="黑体" w:hAnsi="黑体" w:cs="Times New Roman"/>
          <w:sz w:val="36"/>
          <w:szCs w:val="32"/>
        </w:rPr>
        <w:t>考试大纲</w:t>
      </w:r>
    </w:p>
    <w:p w14:paraId="06F1BC5F" w14:textId="77777777" w:rsidR="004120DC" w:rsidRDefault="004120DC">
      <w:pPr>
        <w:rPr>
          <w:rFonts w:ascii="Times New Roman" w:hAnsi="Times New Roman" w:cs="Times New Roman"/>
          <w:sz w:val="25"/>
        </w:rPr>
      </w:pPr>
    </w:p>
    <w:p w14:paraId="02D43F70" w14:textId="77777777"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考试科目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：《财务管理》</w:t>
      </w:r>
    </w:p>
    <w:p w14:paraId="23927023" w14:textId="77777777"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一、命题原则</w:t>
      </w:r>
    </w:p>
    <w:p w14:paraId="43E4B2A4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．考试目标</w:t>
      </w:r>
    </w:p>
    <w:p w14:paraId="37A60E17" w14:textId="77777777"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考试目标在于考核已修完财务管理所规定基本教学内容的学生，是否较好地达到课程标准所确定的目标，并具有继续进行本科财务管理及相关课程深入学习的能力。</w:t>
      </w:r>
    </w:p>
    <w:p w14:paraId="787755AE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．考试标准</w:t>
      </w:r>
    </w:p>
    <w:p w14:paraId="151EDF70" w14:textId="77777777"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考试标准是以普通高等学校的教学要求为参照标准，在考试的总体水平上，与普通高等学校相应专业的学历层次水平相一致。它是由专升本考试的招生录取计划、考试大纲和参考教材来具体体现的。</w:t>
      </w:r>
    </w:p>
    <w:p w14:paraId="5C6E7C77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．考试依据和范围</w:t>
      </w:r>
    </w:p>
    <w:p w14:paraId="15A9C497" w14:textId="77777777" w:rsidR="004120DC" w:rsidRDefault="001661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考试依据见考试大纲，命题范围严格遵循考试大纲，侧重考核财务管理基本知识、基本原理的理解和掌握以及基本方法的应用。</w:t>
      </w:r>
    </w:p>
    <w:p w14:paraId="2CE782CA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．考试内容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150"/>
        <w:gridCol w:w="1512"/>
      </w:tblGrid>
      <w:tr w:rsidR="004120DC" w14:paraId="33D68DCA" w14:textId="77777777">
        <w:tc>
          <w:tcPr>
            <w:tcW w:w="2518" w:type="dxa"/>
            <w:vAlign w:val="center"/>
          </w:tcPr>
          <w:p w14:paraId="4891401F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知　识　点</w:t>
            </w:r>
          </w:p>
        </w:tc>
        <w:tc>
          <w:tcPr>
            <w:tcW w:w="5150" w:type="dxa"/>
            <w:vAlign w:val="center"/>
          </w:tcPr>
          <w:p w14:paraId="0755BCB5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范　　围</w:t>
            </w:r>
          </w:p>
        </w:tc>
        <w:tc>
          <w:tcPr>
            <w:tcW w:w="1512" w:type="dxa"/>
            <w:vAlign w:val="center"/>
          </w:tcPr>
          <w:p w14:paraId="7F351E41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认知</w:t>
            </w:r>
          </w:p>
        </w:tc>
      </w:tr>
      <w:tr w:rsidR="002A131C" w14:paraId="2FAE1D0C" w14:textId="77777777" w:rsidTr="007E0CDE">
        <w:tc>
          <w:tcPr>
            <w:tcW w:w="9180" w:type="dxa"/>
            <w:gridSpan w:val="3"/>
            <w:vAlign w:val="center"/>
          </w:tcPr>
          <w:p w14:paraId="7F3F04F5" w14:textId="54902FFE" w:rsidR="002A131C" w:rsidRDefault="002A131C" w:rsidP="002A131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一、总论</w:t>
            </w:r>
          </w:p>
        </w:tc>
      </w:tr>
      <w:tr w:rsidR="004120DC" w14:paraId="3BE187A2" w14:textId="77777777">
        <w:tc>
          <w:tcPr>
            <w:tcW w:w="2518" w:type="dxa"/>
            <w:vAlign w:val="center"/>
          </w:tcPr>
          <w:p w14:paraId="459D1A85" w14:textId="5A2B8039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</w:t>
            </w:r>
            <w:r w:rsidR="00157E5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5150" w:type="dxa"/>
            <w:vAlign w:val="center"/>
          </w:tcPr>
          <w:p w14:paraId="370F2CE5" w14:textId="0E9125DE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财务管理概念；</w:t>
            </w:r>
            <w:r w:rsidR="007170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企业的组织形式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；财务</w:t>
            </w:r>
            <w:r w:rsidR="007170B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1512" w:type="dxa"/>
            <w:vAlign w:val="center"/>
          </w:tcPr>
          <w:p w14:paraId="5C3A1918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68FF5AD0" w14:textId="77777777">
        <w:tc>
          <w:tcPr>
            <w:tcW w:w="2518" w:type="dxa"/>
            <w:vAlign w:val="center"/>
          </w:tcPr>
          <w:p w14:paraId="561D2A7E" w14:textId="6EFBEFF4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．财务管理</w:t>
            </w:r>
            <w:r w:rsidR="00157E5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目标</w:t>
            </w:r>
          </w:p>
        </w:tc>
        <w:tc>
          <w:tcPr>
            <w:tcW w:w="5150" w:type="dxa"/>
            <w:vAlign w:val="center"/>
          </w:tcPr>
          <w:p w14:paraId="37F3F90B" w14:textId="069A0830" w:rsidR="004120DC" w:rsidRDefault="009C227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财务管理的基本目标；利益相关者目标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财务管理目标的冲突与协调</w:t>
            </w:r>
          </w:p>
        </w:tc>
        <w:tc>
          <w:tcPr>
            <w:tcW w:w="1512" w:type="dxa"/>
            <w:vAlign w:val="center"/>
          </w:tcPr>
          <w:p w14:paraId="25A5E999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7846CF09" w14:textId="77777777">
        <w:tc>
          <w:tcPr>
            <w:tcW w:w="2518" w:type="dxa"/>
            <w:vAlign w:val="center"/>
          </w:tcPr>
          <w:p w14:paraId="396201E4" w14:textId="44509C39" w:rsidR="004120DC" w:rsidRDefault="009C227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．财务管理的环境</w:t>
            </w:r>
          </w:p>
        </w:tc>
        <w:tc>
          <w:tcPr>
            <w:tcW w:w="5150" w:type="dxa"/>
            <w:vAlign w:val="center"/>
          </w:tcPr>
          <w:p w14:paraId="7FEF6A0E" w14:textId="4657504A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经济环境、金融环境及</w:t>
            </w:r>
            <w:r w:rsidR="009C22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资本市场效率</w:t>
            </w:r>
          </w:p>
        </w:tc>
        <w:tc>
          <w:tcPr>
            <w:tcW w:w="1512" w:type="dxa"/>
            <w:vAlign w:val="center"/>
          </w:tcPr>
          <w:p w14:paraId="1EC4A050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2A131C" w14:paraId="6E4815C3" w14:textId="77777777" w:rsidTr="005C5E6B">
        <w:tc>
          <w:tcPr>
            <w:tcW w:w="9180" w:type="dxa"/>
            <w:gridSpan w:val="3"/>
            <w:vAlign w:val="center"/>
          </w:tcPr>
          <w:p w14:paraId="1A4899FC" w14:textId="6B1638B3" w:rsidR="002A131C" w:rsidRDefault="002A131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二、财务分析</w:t>
            </w:r>
          </w:p>
        </w:tc>
      </w:tr>
      <w:tr w:rsidR="004120DC" w14:paraId="1769E792" w14:textId="77777777">
        <w:tc>
          <w:tcPr>
            <w:tcW w:w="2518" w:type="dxa"/>
            <w:vAlign w:val="center"/>
          </w:tcPr>
          <w:p w14:paraId="5E77C30A" w14:textId="17D5A3E4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</w:t>
            </w:r>
            <w:r w:rsidR="005356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概述</w:t>
            </w:r>
          </w:p>
        </w:tc>
        <w:tc>
          <w:tcPr>
            <w:tcW w:w="5150" w:type="dxa"/>
            <w:vAlign w:val="center"/>
          </w:tcPr>
          <w:p w14:paraId="3382315F" w14:textId="011604FA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财务分析的</w:t>
            </w:r>
            <w:r w:rsidR="009C22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目的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；财务分析的</w:t>
            </w:r>
            <w:r w:rsidR="009C22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；财务分析的</w:t>
            </w:r>
            <w:r w:rsidR="009C22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方法及局限性</w:t>
            </w:r>
          </w:p>
        </w:tc>
        <w:tc>
          <w:tcPr>
            <w:tcW w:w="1512" w:type="dxa"/>
            <w:vAlign w:val="center"/>
          </w:tcPr>
          <w:p w14:paraId="24ACE214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 w14:paraId="22D061CA" w14:textId="77777777">
        <w:trPr>
          <w:trHeight w:val="570"/>
        </w:trPr>
        <w:tc>
          <w:tcPr>
            <w:tcW w:w="2518" w:type="dxa"/>
            <w:vMerge w:val="restart"/>
            <w:vAlign w:val="center"/>
          </w:tcPr>
          <w:p w14:paraId="62CFB069" w14:textId="033E18A5" w:rsidR="004120DC" w:rsidRDefault="009C227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．财务分析指标</w:t>
            </w:r>
          </w:p>
        </w:tc>
        <w:tc>
          <w:tcPr>
            <w:tcW w:w="5150" w:type="dxa"/>
            <w:vAlign w:val="center"/>
          </w:tcPr>
          <w:p w14:paraId="54AF9664" w14:textId="6465FC91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基于资产负债表和利润表的短期偿债能力分析指标、长期偿债能力分析指标、营运能力分析指标、</w:t>
            </w:r>
            <w:r w:rsidR="00157E5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利能力分析指标</w:t>
            </w:r>
            <w:r w:rsidR="00157E5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、上市公司比率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计算及运用</w:t>
            </w:r>
          </w:p>
        </w:tc>
        <w:tc>
          <w:tcPr>
            <w:tcW w:w="1512" w:type="dxa"/>
            <w:vAlign w:val="center"/>
          </w:tcPr>
          <w:p w14:paraId="6F2969E5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44803FC2" w14:textId="77777777">
        <w:trPr>
          <w:trHeight w:val="570"/>
        </w:trPr>
        <w:tc>
          <w:tcPr>
            <w:tcW w:w="2518" w:type="dxa"/>
            <w:vMerge/>
            <w:vAlign w:val="center"/>
          </w:tcPr>
          <w:p w14:paraId="2F4455EE" w14:textId="77777777"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6BA1533D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基于现金流量表的各项财务分析指标计算与应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用</w:t>
            </w:r>
          </w:p>
        </w:tc>
        <w:tc>
          <w:tcPr>
            <w:tcW w:w="1512" w:type="dxa"/>
            <w:vAlign w:val="center"/>
          </w:tcPr>
          <w:p w14:paraId="27034BD0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了解</w:t>
            </w:r>
          </w:p>
        </w:tc>
      </w:tr>
      <w:tr w:rsidR="004120DC" w14:paraId="75FD6EE8" w14:textId="77777777">
        <w:tc>
          <w:tcPr>
            <w:tcW w:w="2518" w:type="dxa"/>
            <w:vMerge w:val="restart"/>
            <w:vAlign w:val="center"/>
          </w:tcPr>
          <w:p w14:paraId="071ABD1D" w14:textId="3AB2DC04" w:rsidR="004120DC" w:rsidRDefault="00157E54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．财务综合分析</w:t>
            </w:r>
          </w:p>
        </w:tc>
        <w:tc>
          <w:tcPr>
            <w:tcW w:w="5150" w:type="dxa"/>
            <w:vAlign w:val="center"/>
          </w:tcPr>
          <w:p w14:paraId="27D5A787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杜邦财务分析体系</w:t>
            </w:r>
          </w:p>
        </w:tc>
        <w:tc>
          <w:tcPr>
            <w:tcW w:w="1512" w:type="dxa"/>
            <w:vAlign w:val="center"/>
          </w:tcPr>
          <w:p w14:paraId="4A889D0A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16BC09BD" w14:textId="77777777">
        <w:tc>
          <w:tcPr>
            <w:tcW w:w="2518" w:type="dxa"/>
            <w:vMerge/>
            <w:vAlign w:val="center"/>
          </w:tcPr>
          <w:p w14:paraId="1694B82A" w14:textId="77777777"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6269DCBA" w14:textId="101367FA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沃尔</w:t>
            </w:r>
            <w:r w:rsidR="00157E5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比重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评分法</w:t>
            </w:r>
          </w:p>
        </w:tc>
        <w:tc>
          <w:tcPr>
            <w:tcW w:w="1512" w:type="dxa"/>
            <w:vAlign w:val="center"/>
          </w:tcPr>
          <w:p w14:paraId="1245B1A0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2A131C" w14:paraId="1CC9CD1D" w14:textId="77777777" w:rsidTr="009B0CD7">
        <w:tc>
          <w:tcPr>
            <w:tcW w:w="9180" w:type="dxa"/>
            <w:gridSpan w:val="3"/>
            <w:vAlign w:val="center"/>
          </w:tcPr>
          <w:p w14:paraId="02C6B992" w14:textId="35CBF418" w:rsidR="002A131C" w:rsidRDefault="002A131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三、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财务理论基础</w:t>
            </w:r>
          </w:p>
        </w:tc>
      </w:tr>
      <w:tr w:rsidR="004120DC" w14:paraId="203F4D9C" w14:textId="77777777" w:rsidTr="00EF3687">
        <w:trPr>
          <w:trHeight w:val="1700"/>
        </w:trPr>
        <w:tc>
          <w:tcPr>
            <w:tcW w:w="2518" w:type="dxa"/>
            <w:vAlign w:val="center"/>
          </w:tcPr>
          <w:p w14:paraId="04CE986C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．资金时间价值</w:t>
            </w:r>
          </w:p>
        </w:tc>
        <w:tc>
          <w:tcPr>
            <w:tcW w:w="5150" w:type="dxa"/>
            <w:vAlign w:val="center"/>
          </w:tcPr>
          <w:p w14:paraId="04BA2B46" w14:textId="771333DB" w:rsidR="004120DC" w:rsidRDefault="00157E54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资金时间价值</w:t>
            </w:r>
            <w:r w:rsidR="00EF3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复利和年金概念；年金分类；复利终值与现值计算；普通年金</w:t>
            </w:r>
            <w:r w:rsidR="00EC5F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、预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付年金</w:t>
            </w:r>
            <w:r w:rsidR="00EC5F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递延年金</w:t>
            </w:r>
            <w:r w:rsidR="00EC5F8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永续年金</w:t>
            </w:r>
            <w:r w:rsidR="00EF3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终值与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现值</w:t>
            </w:r>
            <w:r w:rsidR="00EF3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计算</w:t>
            </w:r>
            <w:r w:rsidR="00EF3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折现率、期间的推算</w:t>
            </w:r>
          </w:p>
        </w:tc>
        <w:tc>
          <w:tcPr>
            <w:tcW w:w="1512" w:type="dxa"/>
            <w:vAlign w:val="center"/>
          </w:tcPr>
          <w:p w14:paraId="751ACD35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07C40690" w14:textId="77777777">
        <w:trPr>
          <w:trHeight w:val="383"/>
        </w:trPr>
        <w:tc>
          <w:tcPr>
            <w:tcW w:w="2518" w:type="dxa"/>
            <w:vMerge w:val="restart"/>
            <w:vAlign w:val="center"/>
          </w:tcPr>
          <w:p w14:paraId="37912E1E" w14:textId="07E90892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．风险</w:t>
            </w:r>
            <w:r w:rsidR="00EF3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与报酬</w:t>
            </w:r>
          </w:p>
        </w:tc>
        <w:tc>
          <w:tcPr>
            <w:tcW w:w="5150" w:type="dxa"/>
            <w:vAlign w:val="center"/>
          </w:tcPr>
          <w:p w14:paraId="57A30392" w14:textId="6F2413EF" w:rsidR="004120DC" w:rsidRDefault="00EF3687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报酬、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风险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概念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和分类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；风险的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衡量</w:t>
            </w:r>
            <w:r w:rsidR="00B67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判断风险的大小</w:t>
            </w:r>
          </w:p>
        </w:tc>
        <w:tc>
          <w:tcPr>
            <w:tcW w:w="1512" w:type="dxa"/>
            <w:vAlign w:val="center"/>
          </w:tcPr>
          <w:p w14:paraId="23CCED9B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57D631B0" w14:textId="77777777">
        <w:trPr>
          <w:trHeight w:val="382"/>
        </w:trPr>
        <w:tc>
          <w:tcPr>
            <w:tcW w:w="2518" w:type="dxa"/>
            <w:vMerge/>
            <w:vAlign w:val="center"/>
          </w:tcPr>
          <w:p w14:paraId="063C7F15" w14:textId="77777777"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59E40804" w14:textId="097588FA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风险报酬</w:t>
            </w:r>
            <w:r w:rsidR="00EF3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的含义；投资组合的风险和报酬；</w:t>
            </w:r>
            <w:r w:rsidR="00B66BD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资本资产定价模型与证券市场线</w:t>
            </w:r>
          </w:p>
        </w:tc>
        <w:tc>
          <w:tcPr>
            <w:tcW w:w="1512" w:type="dxa"/>
            <w:vAlign w:val="center"/>
          </w:tcPr>
          <w:p w14:paraId="1C1474EC" w14:textId="6B3B2E1C" w:rsidR="004120DC" w:rsidRDefault="00B66BD4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120DC" w14:paraId="1FD6EF85" w14:textId="77777777">
        <w:tc>
          <w:tcPr>
            <w:tcW w:w="2518" w:type="dxa"/>
            <w:vAlign w:val="center"/>
          </w:tcPr>
          <w:p w14:paraId="4F3D105E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．利息率</w:t>
            </w:r>
          </w:p>
        </w:tc>
        <w:tc>
          <w:tcPr>
            <w:tcW w:w="5150" w:type="dxa"/>
            <w:vAlign w:val="center"/>
          </w:tcPr>
          <w:p w14:paraId="74A9C169" w14:textId="6AE34396" w:rsidR="004120DC" w:rsidRDefault="00B66BD4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报价利率与有效利率</w:t>
            </w:r>
            <w:r w:rsidR="0016619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市场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利率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的影响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因素</w:t>
            </w:r>
          </w:p>
        </w:tc>
        <w:tc>
          <w:tcPr>
            <w:tcW w:w="1512" w:type="dxa"/>
            <w:vAlign w:val="center"/>
          </w:tcPr>
          <w:p w14:paraId="2F6DBC20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2A131C" w14:paraId="00007243" w14:textId="77777777" w:rsidTr="005F7E4A">
        <w:tc>
          <w:tcPr>
            <w:tcW w:w="9180" w:type="dxa"/>
            <w:gridSpan w:val="3"/>
            <w:vAlign w:val="center"/>
          </w:tcPr>
          <w:p w14:paraId="2559C5A8" w14:textId="22E7A091" w:rsidR="002A131C" w:rsidRDefault="002A131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四、筹资管理</w:t>
            </w:r>
          </w:p>
        </w:tc>
      </w:tr>
      <w:tr w:rsidR="004120DC" w14:paraId="33F599BA" w14:textId="77777777">
        <w:tc>
          <w:tcPr>
            <w:tcW w:w="2518" w:type="dxa"/>
            <w:vMerge w:val="restart"/>
            <w:vAlign w:val="center"/>
          </w:tcPr>
          <w:p w14:paraId="2C2C189B" w14:textId="00D5F898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．概述</w:t>
            </w:r>
          </w:p>
        </w:tc>
        <w:tc>
          <w:tcPr>
            <w:tcW w:w="5150" w:type="dxa"/>
            <w:vAlign w:val="center"/>
          </w:tcPr>
          <w:p w14:paraId="32B8C8DA" w14:textId="42BF46D8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筹资的分类、</w:t>
            </w:r>
            <w:r w:rsidR="001F0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动机、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筹资渠道与方式</w:t>
            </w:r>
          </w:p>
        </w:tc>
        <w:tc>
          <w:tcPr>
            <w:tcW w:w="1512" w:type="dxa"/>
            <w:vAlign w:val="center"/>
          </w:tcPr>
          <w:p w14:paraId="75FE32F3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 w14:paraId="02B73827" w14:textId="77777777">
        <w:tc>
          <w:tcPr>
            <w:tcW w:w="2518" w:type="dxa"/>
            <w:vMerge/>
            <w:vAlign w:val="center"/>
          </w:tcPr>
          <w:p w14:paraId="70173B60" w14:textId="77777777"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464DC4AA" w14:textId="09CBD536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资金需要量预测的方法，包括销售百分比法和资金习性预测法</w:t>
            </w:r>
          </w:p>
        </w:tc>
        <w:tc>
          <w:tcPr>
            <w:tcW w:w="1512" w:type="dxa"/>
            <w:vAlign w:val="center"/>
          </w:tcPr>
          <w:p w14:paraId="307E9217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4C70E8D9" w14:textId="77777777">
        <w:tc>
          <w:tcPr>
            <w:tcW w:w="2518" w:type="dxa"/>
            <w:vAlign w:val="center"/>
          </w:tcPr>
          <w:p w14:paraId="49F1E1B2" w14:textId="0B01FFBC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</w:t>
            </w:r>
            <w:r w:rsidR="001F0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股权筹资</w:t>
            </w:r>
          </w:p>
        </w:tc>
        <w:tc>
          <w:tcPr>
            <w:tcW w:w="5150" w:type="dxa"/>
            <w:vAlign w:val="center"/>
          </w:tcPr>
          <w:p w14:paraId="5F6C45FA" w14:textId="0B1CCD99" w:rsidR="004120DC" w:rsidRDefault="006D6834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股权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筹资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渠道、方式及其优缺点</w:t>
            </w:r>
          </w:p>
        </w:tc>
        <w:tc>
          <w:tcPr>
            <w:tcW w:w="1512" w:type="dxa"/>
            <w:vAlign w:val="center"/>
          </w:tcPr>
          <w:p w14:paraId="57C57045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02927139" w14:textId="77777777">
        <w:tc>
          <w:tcPr>
            <w:tcW w:w="2518" w:type="dxa"/>
            <w:vAlign w:val="center"/>
          </w:tcPr>
          <w:p w14:paraId="22A1A83F" w14:textId="3CA98C1F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5356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．</w:t>
            </w:r>
            <w:r w:rsidR="001F0D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长期债务筹资</w:t>
            </w:r>
          </w:p>
        </w:tc>
        <w:tc>
          <w:tcPr>
            <w:tcW w:w="5150" w:type="dxa"/>
            <w:vAlign w:val="center"/>
          </w:tcPr>
          <w:p w14:paraId="2EC04371" w14:textId="51858A70" w:rsidR="004120DC" w:rsidRDefault="001F0D47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长期债务</w:t>
            </w:r>
            <w:r w:rsidR="006D68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筹资渠道、方式及其优缺点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；债券发行价格的计算</w:t>
            </w:r>
          </w:p>
        </w:tc>
        <w:tc>
          <w:tcPr>
            <w:tcW w:w="1512" w:type="dxa"/>
            <w:vAlign w:val="center"/>
          </w:tcPr>
          <w:p w14:paraId="20E815A0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1F0D47" w14:paraId="7282A975" w14:textId="77777777">
        <w:tc>
          <w:tcPr>
            <w:tcW w:w="2518" w:type="dxa"/>
            <w:vAlign w:val="center"/>
          </w:tcPr>
          <w:p w14:paraId="7F0EEE2E" w14:textId="7A014A39" w:rsidR="001F0D47" w:rsidRDefault="001F0D47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混合筹资</w:t>
            </w:r>
          </w:p>
        </w:tc>
        <w:tc>
          <w:tcPr>
            <w:tcW w:w="5150" w:type="dxa"/>
            <w:vAlign w:val="center"/>
          </w:tcPr>
          <w:p w14:paraId="7AD45358" w14:textId="4D7472ED" w:rsidR="001F0D47" w:rsidRDefault="001F0D47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混合筹资的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渠道、方式及其优缺点</w:t>
            </w:r>
          </w:p>
        </w:tc>
        <w:tc>
          <w:tcPr>
            <w:tcW w:w="1512" w:type="dxa"/>
            <w:vAlign w:val="center"/>
          </w:tcPr>
          <w:p w14:paraId="3E8E41E4" w14:textId="1B85F21E" w:rsidR="001F0D47" w:rsidRDefault="0009482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2A131C" w14:paraId="215D9533" w14:textId="77777777" w:rsidTr="001C41F2">
        <w:tc>
          <w:tcPr>
            <w:tcW w:w="9180" w:type="dxa"/>
            <w:gridSpan w:val="3"/>
            <w:vAlign w:val="center"/>
          </w:tcPr>
          <w:p w14:paraId="2517E94A" w14:textId="0FF30B21" w:rsidR="002A131C" w:rsidRDefault="002A131C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五、资</w:t>
            </w:r>
            <w:r w:rsidR="0009482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成本与资金结构</w:t>
            </w:r>
          </w:p>
        </w:tc>
      </w:tr>
      <w:tr w:rsidR="004120DC" w14:paraId="4233163A" w14:textId="77777777">
        <w:tc>
          <w:tcPr>
            <w:tcW w:w="2518" w:type="dxa"/>
            <w:vAlign w:val="center"/>
          </w:tcPr>
          <w:p w14:paraId="1E318CC9" w14:textId="6C2EE2B8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成本</w:t>
            </w:r>
          </w:p>
        </w:tc>
        <w:tc>
          <w:tcPr>
            <w:tcW w:w="5150" w:type="dxa"/>
            <w:vAlign w:val="center"/>
          </w:tcPr>
          <w:p w14:paraId="6DF2CAE4" w14:textId="0DA63081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</w:t>
            </w:r>
            <w:r w:rsidR="00B67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成本概念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和种类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权益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资本成本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、债务资本成本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和加权平均资本成本的计算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边际资本成本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的含义和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计算</w:t>
            </w:r>
          </w:p>
        </w:tc>
        <w:tc>
          <w:tcPr>
            <w:tcW w:w="1512" w:type="dxa"/>
            <w:vAlign w:val="center"/>
          </w:tcPr>
          <w:p w14:paraId="165E7ECC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30A1948F" w14:textId="77777777">
        <w:tc>
          <w:tcPr>
            <w:tcW w:w="2518" w:type="dxa"/>
            <w:vAlign w:val="center"/>
          </w:tcPr>
          <w:p w14:paraId="3CE878CD" w14:textId="1DAAB2C6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．杠杆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效应</w:t>
            </w:r>
          </w:p>
        </w:tc>
        <w:tc>
          <w:tcPr>
            <w:tcW w:w="5150" w:type="dxa"/>
            <w:vAlign w:val="center"/>
          </w:tcPr>
          <w:p w14:paraId="3D6F201F" w14:textId="77B5AD00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成本习性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边际贡献、息税前利润的概念及计算；经营杠杆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财务杠杆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杠杆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概念、计量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和评价</w:t>
            </w:r>
          </w:p>
        </w:tc>
        <w:tc>
          <w:tcPr>
            <w:tcW w:w="1512" w:type="dxa"/>
            <w:vAlign w:val="center"/>
          </w:tcPr>
          <w:p w14:paraId="6B302252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59E56554" w14:textId="77777777">
        <w:tc>
          <w:tcPr>
            <w:tcW w:w="2518" w:type="dxa"/>
            <w:vAlign w:val="center"/>
          </w:tcPr>
          <w:p w14:paraId="41CCF3A9" w14:textId="30775610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．资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结构</w:t>
            </w:r>
          </w:p>
        </w:tc>
        <w:tc>
          <w:tcPr>
            <w:tcW w:w="5150" w:type="dxa"/>
            <w:vAlign w:val="center"/>
          </w:tcPr>
          <w:p w14:paraId="6EAC7FB2" w14:textId="3F82A14D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结构的概念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和影响因素</w:t>
            </w:r>
            <w:r w:rsidR="0009482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最优资金结构的确定方法（每股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收益无差别点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法、资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成本</w:t>
            </w:r>
            <w:r w:rsidR="00FC404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比较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法）</w:t>
            </w:r>
          </w:p>
        </w:tc>
        <w:tc>
          <w:tcPr>
            <w:tcW w:w="1512" w:type="dxa"/>
            <w:vAlign w:val="center"/>
          </w:tcPr>
          <w:p w14:paraId="6AABBFAE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2A131C" w14:paraId="624ED11B" w14:textId="77777777" w:rsidTr="00FF39E1">
        <w:tc>
          <w:tcPr>
            <w:tcW w:w="9180" w:type="dxa"/>
            <w:gridSpan w:val="3"/>
            <w:vAlign w:val="center"/>
          </w:tcPr>
          <w:p w14:paraId="7D91ED70" w14:textId="1E0778B5" w:rsidR="002A131C" w:rsidRDefault="002A131C" w:rsidP="006D6834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六、投资管理</w:t>
            </w:r>
          </w:p>
        </w:tc>
      </w:tr>
      <w:tr w:rsidR="004120DC" w14:paraId="64AD5362" w14:textId="77777777">
        <w:tc>
          <w:tcPr>
            <w:tcW w:w="2518" w:type="dxa"/>
            <w:vAlign w:val="center"/>
          </w:tcPr>
          <w:p w14:paraId="04B8D68C" w14:textId="3A576890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</w:t>
            </w:r>
            <w:r w:rsidR="00600B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资本预算</w:t>
            </w:r>
          </w:p>
        </w:tc>
        <w:tc>
          <w:tcPr>
            <w:tcW w:w="5150" w:type="dxa"/>
            <w:vAlign w:val="center"/>
          </w:tcPr>
          <w:p w14:paraId="420B7540" w14:textId="412C3C8A" w:rsidR="004120DC" w:rsidRDefault="00600BE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资本预算的含义、范围及特点</w:t>
            </w:r>
          </w:p>
        </w:tc>
        <w:tc>
          <w:tcPr>
            <w:tcW w:w="1512" w:type="dxa"/>
          </w:tcPr>
          <w:p w14:paraId="4C9E0186" w14:textId="77777777" w:rsidR="004120DC" w:rsidRDefault="00166190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熟悉</w:t>
            </w:r>
          </w:p>
        </w:tc>
      </w:tr>
      <w:tr w:rsidR="004120DC" w14:paraId="6E49CF19" w14:textId="77777777">
        <w:tc>
          <w:tcPr>
            <w:tcW w:w="2518" w:type="dxa"/>
            <w:vAlign w:val="center"/>
          </w:tcPr>
          <w:p w14:paraId="6864D168" w14:textId="037EAB3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．现金流量</w:t>
            </w:r>
          </w:p>
        </w:tc>
        <w:tc>
          <w:tcPr>
            <w:tcW w:w="5150" w:type="dxa"/>
            <w:vAlign w:val="center"/>
          </w:tcPr>
          <w:p w14:paraId="7EC277D1" w14:textId="016D1CD8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现金流量的含义</w:t>
            </w:r>
            <w:r w:rsidR="005209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和作用；</w:t>
            </w:r>
            <w:r w:rsidR="00520953">
              <w:rPr>
                <w:rFonts w:ascii="Times New Roman" w:eastAsia="宋体" w:hAnsi="Times New Roman" w:cs="Times New Roman"/>
                <w:sz w:val="24"/>
                <w:szCs w:val="24"/>
              </w:rPr>
              <w:t>净现金流量含义</w:t>
            </w:r>
            <w:r w:rsidR="005209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、构成与估算</w:t>
            </w:r>
          </w:p>
        </w:tc>
        <w:tc>
          <w:tcPr>
            <w:tcW w:w="1512" w:type="dxa"/>
          </w:tcPr>
          <w:p w14:paraId="057B827E" w14:textId="0BF9950B" w:rsidR="004120DC" w:rsidRDefault="00520953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掌握</w:t>
            </w:r>
          </w:p>
        </w:tc>
      </w:tr>
      <w:tr w:rsidR="004120DC" w14:paraId="57B7935C" w14:textId="77777777">
        <w:tc>
          <w:tcPr>
            <w:tcW w:w="2518" w:type="dxa"/>
            <w:vAlign w:val="center"/>
          </w:tcPr>
          <w:p w14:paraId="209ADC2F" w14:textId="49CCF6F3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</w:t>
            </w:r>
            <w:r w:rsidR="005209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投资决策评价指标</w:t>
            </w:r>
          </w:p>
        </w:tc>
        <w:tc>
          <w:tcPr>
            <w:tcW w:w="5150" w:type="dxa"/>
            <w:vAlign w:val="center"/>
          </w:tcPr>
          <w:p w14:paraId="6FFDB257" w14:textId="7222E742" w:rsidR="004120DC" w:rsidRDefault="00520953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评价指标的分类</w:t>
            </w:r>
            <w:r w:rsidR="00B67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非折现评价指标的含义、特点及计算方法（投资利润率、静态投资回收期）；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折现评价指标的含义、特点及计算方法（净现值、现值指数、内含报酬率、年均净现值）</w:t>
            </w:r>
          </w:p>
        </w:tc>
        <w:tc>
          <w:tcPr>
            <w:tcW w:w="1512" w:type="dxa"/>
            <w:vAlign w:val="center"/>
          </w:tcPr>
          <w:p w14:paraId="72AFA771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掌握</w:t>
            </w:r>
          </w:p>
        </w:tc>
      </w:tr>
      <w:tr w:rsidR="004120DC" w14:paraId="3E684F18" w14:textId="77777777">
        <w:tc>
          <w:tcPr>
            <w:tcW w:w="2518" w:type="dxa"/>
            <w:vAlign w:val="center"/>
          </w:tcPr>
          <w:p w14:paraId="389D0D42" w14:textId="6F366954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．投资</w:t>
            </w:r>
            <w:r w:rsidR="0052095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决策运用</w:t>
            </w:r>
          </w:p>
        </w:tc>
        <w:tc>
          <w:tcPr>
            <w:tcW w:w="5150" w:type="dxa"/>
            <w:vAlign w:val="center"/>
          </w:tcPr>
          <w:p w14:paraId="7C1278D6" w14:textId="4375B002" w:rsidR="004120DC" w:rsidRDefault="00520953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各投资评价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指标之间的关系；利用上述评价指标对投资项目财务可行性进行分析评价</w:t>
            </w:r>
          </w:p>
        </w:tc>
        <w:tc>
          <w:tcPr>
            <w:tcW w:w="1512" w:type="dxa"/>
            <w:vAlign w:val="center"/>
          </w:tcPr>
          <w:p w14:paraId="6BB29E1A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2A131C" w14:paraId="15DCDE67" w14:textId="77777777" w:rsidTr="005D7871">
        <w:tc>
          <w:tcPr>
            <w:tcW w:w="9180" w:type="dxa"/>
            <w:gridSpan w:val="3"/>
            <w:vAlign w:val="center"/>
          </w:tcPr>
          <w:p w14:paraId="311F3910" w14:textId="4CE848B0" w:rsidR="002A131C" w:rsidRDefault="002A131C" w:rsidP="0009482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七、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价值评估</w:t>
            </w:r>
          </w:p>
        </w:tc>
      </w:tr>
      <w:tr w:rsidR="004120DC" w14:paraId="75BF9B37" w14:textId="77777777">
        <w:tc>
          <w:tcPr>
            <w:tcW w:w="2518" w:type="dxa"/>
            <w:vAlign w:val="center"/>
          </w:tcPr>
          <w:p w14:paraId="3842DF47" w14:textId="2E426D41" w:rsidR="004120DC" w:rsidRDefault="002B071E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．债券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价值评估</w:t>
            </w:r>
          </w:p>
        </w:tc>
        <w:tc>
          <w:tcPr>
            <w:tcW w:w="5150" w:type="dxa"/>
            <w:vAlign w:val="center"/>
          </w:tcPr>
          <w:p w14:paraId="787C6E46" w14:textId="7456CB4C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债券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价值的计算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2B07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模型</w:t>
            </w:r>
            <w:r w:rsidR="002B07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一次还本付息</w:t>
            </w:r>
            <w:r w:rsidR="002B07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模型、折现发行模型）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="002B07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债券价值的影响因素；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债券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收益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率的计算</w:t>
            </w:r>
          </w:p>
        </w:tc>
        <w:tc>
          <w:tcPr>
            <w:tcW w:w="1512" w:type="dxa"/>
            <w:vAlign w:val="center"/>
          </w:tcPr>
          <w:p w14:paraId="589F63AC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68B9D16D" w14:textId="77777777">
        <w:trPr>
          <w:trHeight w:val="383"/>
        </w:trPr>
        <w:tc>
          <w:tcPr>
            <w:tcW w:w="2518" w:type="dxa"/>
            <w:vAlign w:val="center"/>
          </w:tcPr>
          <w:p w14:paraId="52B29619" w14:textId="41449229" w:rsidR="004120DC" w:rsidRDefault="002A131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166190">
              <w:rPr>
                <w:rFonts w:ascii="Times New Roman" w:eastAsia="宋体" w:hAnsi="Times New Roman" w:cs="Times New Roman"/>
                <w:sz w:val="24"/>
                <w:szCs w:val="24"/>
              </w:rPr>
              <w:t>．股票</w:t>
            </w:r>
            <w:r w:rsidR="002B071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价值评估</w:t>
            </w:r>
          </w:p>
        </w:tc>
        <w:tc>
          <w:tcPr>
            <w:tcW w:w="5150" w:type="dxa"/>
            <w:vAlign w:val="center"/>
          </w:tcPr>
          <w:p w14:paraId="28352682" w14:textId="541087D0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股票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价值的计算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基本模型、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固定成长模型；零成长模型；非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固定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成长股票估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模型）；利用证券估</w:t>
            </w:r>
            <w:r w:rsidR="00B674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模型做出投资决策；股票</w:t>
            </w:r>
            <w:r w:rsidR="002A13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收益率的计算</w:t>
            </w:r>
          </w:p>
        </w:tc>
        <w:tc>
          <w:tcPr>
            <w:tcW w:w="1512" w:type="dxa"/>
            <w:vAlign w:val="center"/>
          </w:tcPr>
          <w:p w14:paraId="1A131282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2A131C" w14:paraId="351A256C" w14:textId="77777777" w:rsidTr="008A14A1">
        <w:tc>
          <w:tcPr>
            <w:tcW w:w="9180" w:type="dxa"/>
            <w:gridSpan w:val="3"/>
            <w:vAlign w:val="center"/>
          </w:tcPr>
          <w:p w14:paraId="66D5DA07" w14:textId="294E91F2" w:rsidR="002A131C" w:rsidRDefault="002A131C" w:rsidP="00980BB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八、营运资本管理</w:t>
            </w:r>
          </w:p>
        </w:tc>
      </w:tr>
      <w:tr w:rsidR="004120DC" w14:paraId="690406E9" w14:textId="77777777">
        <w:tc>
          <w:tcPr>
            <w:tcW w:w="2518" w:type="dxa"/>
            <w:vAlign w:val="center"/>
          </w:tcPr>
          <w:p w14:paraId="471A62C5" w14:textId="18F5AF30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．概述</w:t>
            </w:r>
          </w:p>
        </w:tc>
        <w:tc>
          <w:tcPr>
            <w:tcW w:w="5150" w:type="dxa"/>
            <w:vAlign w:val="center"/>
          </w:tcPr>
          <w:p w14:paraId="5A4C04CB" w14:textId="220F86E0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营运资本的概念；</w:t>
            </w:r>
            <w:r w:rsidR="00B214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现金周期的计算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；营运资本的</w:t>
            </w:r>
            <w:r w:rsidR="00B214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管理策略</w:t>
            </w:r>
          </w:p>
        </w:tc>
        <w:tc>
          <w:tcPr>
            <w:tcW w:w="1512" w:type="dxa"/>
            <w:vAlign w:val="center"/>
          </w:tcPr>
          <w:p w14:paraId="3160C8CC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 w14:paraId="3F3CFB08" w14:textId="77777777">
        <w:tc>
          <w:tcPr>
            <w:tcW w:w="2518" w:type="dxa"/>
            <w:vAlign w:val="center"/>
          </w:tcPr>
          <w:p w14:paraId="5A89F973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．现金管理</w:t>
            </w:r>
          </w:p>
        </w:tc>
        <w:tc>
          <w:tcPr>
            <w:tcW w:w="5150" w:type="dxa"/>
            <w:vAlign w:val="center"/>
          </w:tcPr>
          <w:p w14:paraId="7A33A4B0" w14:textId="42F10561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现金的持有动机；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佳现金</w:t>
            </w:r>
            <w:r w:rsidR="009D07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余额的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确定（成本分析模式、存货模式</w:t>
            </w:r>
            <w:r w:rsidR="009D07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、随机模式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）；现金日常管理</w:t>
            </w:r>
          </w:p>
        </w:tc>
        <w:tc>
          <w:tcPr>
            <w:tcW w:w="1512" w:type="dxa"/>
            <w:vAlign w:val="center"/>
          </w:tcPr>
          <w:p w14:paraId="2A41F411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9D070D" w14:paraId="4508D62A" w14:textId="77777777" w:rsidTr="00E279F9">
        <w:trPr>
          <w:trHeight w:val="738"/>
        </w:trPr>
        <w:tc>
          <w:tcPr>
            <w:tcW w:w="2518" w:type="dxa"/>
            <w:vAlign w:val="center"/>
          </w:tcPr>
          <w:p w14:paraId="217726FE" w14:textId="4F3879B8" w:rsidR="009D070D" w:rsidRDefault="009D070D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．应收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款项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管理</w:t>
            </w:r>
          </w:p>
        </w:tc>
        <w:tc>
          <w:tcPr>
            <w:tcW w:w="5150" w:type="dxa"/>
            <w:vAlign w:val="center"/>
          </w:tcPr>
          <w:p w14:paraId="731FA3E1" w14:textId="3258BFF0" w:rsidR="009D070D" w:rsidRDefault="009D070D" w:rsidP="00920949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应收账款的功能与成本；信用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标准、信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用条件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收账政策；信用政策的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决策；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应收账款日常管理</w:t>
            </w:r>
          </w:p>
        </w:tc>
        <w:tc>
          <w:tcPr>
            <w:tcW w:w="1512" w:type="dxa"/>
            <w:vAlign w:val="center"/>
          </w:tcPr>
          <w:p w14:paraId="1FDEE521" w14:textId="77777777" w:rsidR="009D070D" w:rsidRDefault="009D070D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2CDFB90E" w14:textId="77777777">
        <w:tc>
          <w:tcPr>
            <w:tcW w:w="2518" w:type="dxa"/>
            <w:vMerge w:val="restart"/>
            <w:vAlign w:val="center"/>
          </w:tcPr>
          <w:p w14:paraId="0C994371" w14:textId="77269622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．存货</w:t>
            </w:r>
            <w:r w:rsidR="009D07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</w:p>
        </w:tc>
        <w:tc>
          <w:tcPr>
            <w:tcW w:w="5150" w:type="dxa"/>
            <w:vAlign w:val="center"/>
          </w:tcPr>
          <w:p w14:paraId="6EBCF973" w14:textId="2DAE181B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存货</w:t>
            </w:r>
            <w:r w:rsidR="009D07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储存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="009D07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动因与成本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；经济</w:t>
            </w:r>
            <w:r w:rsidR="009D070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订货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批量基本模型；经济订货批量的扩展模型</w:t>
            </w:r>
          </w:p>
        </w:tc>
        <w:tc>
          <w:tcPr>
            <w:tcW w:w="1512" w:type="dxa"/>
            <w:vAlign w:val="center"/>
          </w:tcPr>
          <w:p w14:paraId="62BAA1D8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49B42DA5" w14:textId="77777777">
        <w:tc>
          <w:tcPr>
            <w:tcW w:w="2518" w:type="dxa"/>
            <w:vMerge/>
            <w:vAlign w:val="center"/>
          </w:tcPr>
          <w:p w14:paraId="1DCB22E8" w14:textId="77777777" w:rsidR="004120DC" w:rsidRDefault="004120DC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Align w:val="center"/>
          </w:tcPr>
          <w:p w14:paraId="1506E970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ABC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控制法、适时制库存控制系统</w:t>
            </w:r>
          </w:p>
        </w:tc>
        <w:tc>
          <w:tcPr>
            <w:tcW w:w="1512" w:type="dxa"/>
            <w:vAlign w:val="center"/>
          </w:tcPr>
          <w:p w14:paraId="45362848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9D070D" w14:paraId="0C8AD398" w14:textId="77777777">
        <w:tc>
          <w:tcPr>
            <w:tcW w:w="2518" w:type="dxa"/>
            <w:vAlign w:val="center"/>
          </w:tcPr>
          <w:p w14:paraId="21EC918F" w14:textId="73AEEF19" w:rsidR="009D070D" w:rsidRDefault="009D070D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短期筹资管理</w:t>
            </w:r>
          </w:p>
        </w:tc>
        <w:tc>
          <w:tcPr>
            <w:tcW w:w="5150" w:type="dxa"/>
            <w:vAlign w:val="center"/>
          </w:tcPr>
          <w:p w14:paraId="0B98DD6A" w14:textId="271F5475" w:rsidR="009D070D" w:rsidRDefault="00C376C6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短期筹资特点和渠道；各种短期筹资方式的特点</w:t>
            </w:r>
          </w:p>
        </w:tc>
        <w:tc>
          <w:tcPr>
            <w:tcW w:w="1512" w:type="dxa"/>
            <w:vAlign w:val="center"/>
          </w:tcPr>
          <w:p w14:paraId="0272E369" w14:textId="06F40E60" w:rsidR="009D070D" w:rsidRDefault="00C376C6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了解</w:t>
            </w:r>
          </w:p>
        </w:tc>
      </w:tr>
      <w:tr w:rsidR="00980BB9" w14:paraId="43525500" w14:textId="77777777" w:rsidTr="00CF20BA">
        <w:tc>
          <w:tcPr>
            <w:tcW w:w="9180" w:type="dxa"/>
            <w:gridSpan w:val="3"/>
            <w:vAlign w:val="center"/>
          </w:tcPr>
          <w:p w14:paraId="08CD340C" w14:textId="33A6E18E" w:rsidR="00980BB9" w:rsidRDefault="00980BB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九、收益分配</w:t>
            </w:r>
          </w:p>
        </w:tc>
      </w:tr>
      <w:tr w:rsidR="00980BB9" w14:paraId="153B3988" w14:textId="77777777" w:rsidTr="00A11A32">
        <w:trPr>
          <w:trHeight w:val="866"/>
        </w:trPr>
        <w:tc>
          <w:tcPr>
            <w:tcW w:w="2518" w:type="dxa"/>
            <w:vAlign w:val="center"/>
          </w:tcPr>
          <w:p w14:paraId="4893BF86" w14:textId="11539A89" w:rsidR="00980BB9" w:rsidRDefault="00980BB9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．概述</w:t>
            </w:r>
          </w:p>
        </w:tc>
        <w:tc>
          <w:tcPr>
            <w:tcW w:w="5150" w:type="dxa"/>
            <w:vAlign w:val="center"/>
          </w:tcPr>
          <w:p w14:paraId="672743A8" w14:textId="347898F7" w:rsidR="00980BB9" w:rsidRDefault="00980BB9" w:rsidP="00486689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收益分配的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顺序和影响因素；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股利支付方式；股利支付程序</w:t>
            </w:r>
          </w:p>
        </w:tc>
        <w:tc>
          <w:tcPr>
            <w:tcW w:w="1512" w:type="dxa"/>
            <w:vAlign w:val="center"/>
          </w:tcPr>
          <w:p w14:paraId="685B64E9" w14:textId="77777777" w:rsidR="00980BB9" w:rsidRDefault="00980BB9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  <w:tr w:rsidR="004120DC" w14:paraId="2401A741" w14:textId="77777777">
        <w:tc>
          <w:tcPr>
            <w:tcW w:w="2518" w:type="dxa"/>
            <w:vAlign w:val="center"/>
          </w:tcPr>
          <w:p w14:paraId="437DF18B" w14:textId="46C5B36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</w:t>
            </w:r>
            <w:r w:rsidR="00A11A3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股利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政策</w:t>
            </w:r>
          </w:p>
        </w:tc>
        <w:tc>
          <w:tcPr>
            <w:tcW w:w="5150" w:type="dxa"/>
            <w:vAlign w:val="center"/>
          </w:tcPr>
          <w:p w14:paraId="51A83078" w14:textId="053F5CC6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剩余股利政策；固定股利政策；固定股利</w:t>
            </w:r>
            <w:r w:rsidR="00A11A3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支付率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政策；</w:t>
            </w:r>
            <w:r w:rsidR="00A11A3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低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正常股利加额外股利政策</w:t>
            </w:r>
          </w:p>
        </w:tc>
        <w:tc>
          <w:tcPr>
            <w:tcW w:w="1512" w:type="dxa"/>
            <w:vAlign w:val="center"/>
          </w:tcPr>
          <w:p w14:paraId="3C5856AB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掌握</w:t>
            </w:r>
          </w:p>
        </w:tc>
      </w:tr>
      <w:tr w:rsidR="004120DC" w14:paraId="7A699CFC" w14:textId="77777777">
        <w:tc>
          <w:tcPr>
            <w:tcW w:w="2518" w:type="dxa"/>
            <w:vAlign w:val="center"/>
          </w:tcPr>
          <w:p w14:paraId="6E7A26E0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．股票股利与股票分割</w:t>
            </w:r>
          </w:p>
        </w:tc>
        <w:tc>
          <w:tcPr>
            <w:tcW w:w="5150" w:type="dxa"/>
            <w:vAlign w:val="center"/>
          </w:tcPr>
          <w:p w14:paraId="5F325D67" w14:textId="77777777" w:rsidR="004120DC" w:rsidRDefault="00166190">
            <w:pPr>
              <w:tabs>
                <w:tab w:val="left" w:pos="2340"/>
              </w:tabs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股票股利的含义及对公司和股东的影响；股票分割的含义及对公司和股东的影响</w:t>
            </w:r>
          </w:p>
        </w:tc>
        <w:tc>
          <w:tcPr>
            <w:tcW w:w="1512" w:type="dxa"/>
            <w:vAlign w:val="center"/>
          </w:tcPr>
          <w:p w14:paraId="2A362657" w14:textId="77777777" w:rsidR="004120DC" w:rsidRDefault="00166190">
            <w:pPr>
              <w:tabs>
                <w:tab w:val="left" w:pos="2340"/>
              </w:tabs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了解</w:t>
            </w:r>
          </w:p>
        </w:tc>
      </w:tr>
    </w:tbl>
    <w:p w14:paraId="29720393" w14:textId="77777777" w:rsidR="004120DC" w:rsidRDefault="00412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FDB2C" w14:textId="77777777"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二、考试形式和考试题型</w:t>
      </w:r>
    </w:p>
    <w:p w14:paraId="1387E660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．考试形式</w:t>
      </w:r>
    </w:p>
    <w:p w14:paraId="5F9DBDFA" w14:textId="40A230B3" w:rsidR="004120DC" w:rsidRDefault="00166190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闭卷，笔试，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分钟（可以</w:t>
      </w:r>
      <w:r>
        <w:rPr>
          <w:rFonts w:ascii="Times New Roman" w:hAnsi="Times New Roman" w:cs="Times New Roman" w:hint="eastAsia"/>
          <w:sz w:val="24"/>
          <w:szCs w:val="24"/>
        </w:rPr>
        <w:t>使用</w:t>
      </w:r>
      <w:r>
        <w:rPr>
          <w:rFonts w:hint="eastAsia"/>
          <w:sz w:val="24"/>
        </w:rPr>
        <w:t>不含储存</w:t>
      </w:r>
      <w:r w:rsidR="007170BB">
        <w:rPr>
          <w:rFonts w:hint="eastAsia"/>
          <w:sz w:val="24"/>
        </w:rPr>
        <w:t>记忆与编程</w:t>
      </w:r>
      <w:r>
        <w:rPr>
          <w:rFonts w:hint="eastAsia"/>
          <w:sz w:val="24"/>
        </w:rPr>
        <w:t>功能的简易计算器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418DF623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．考试题型</w:t>
      </w:r>
    </w:p>
    <w:p w14:paraId="7E288024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）单项选择题（本类题共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72C8E6B4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）多项选择题（本类题共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分。多选、少选、错选、不选，均不得分）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20476A86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）判断题（本类题共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题，每小题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分。每小题判断结果正确的得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分，全部选择正确或错误的本类题不得分，判断错误或不判断的不得分也不扣分）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6ECE5624" w14:textId="62036BBE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）计算题（本类题共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题，每</w:t>
      </w:r>
      <w:r w:rsidR="00BD43E6">
        <w:rPr>
          <w:rFonts w:ascii="Times New Roman" w:hAnsi="Times New Roman" w:cs="Times New Roman" w:hint="eastAsia"/>
          <w:sz w:val="24"/>
          <w:szCs w:val="24"/>
        </w:rPr>
        <w:t>小</w:t>
      </w:r>
      <w:r>
        <w:rPr>
          <w:rFonts w:ascii="Times New Roman" w:hAnsi="Times New Roman" w:cs="Times New Roman"/>
          <w:sz w:val="24"/>
          <w:szCs w:val="24"/>
        </w:rPr>
        <w:t>题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分，共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43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14:paraId="7CCB9D82" w14:textId="21876391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）综合题（本类题共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题，</w:t>
      </w:r>
      <w:r w:rsidR="00BD43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分）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2A667CF0" w14:textId="77777777" w:rsidR="004120DC" w:rsidRDefault="00166190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试卷满分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分。</w:t>
      </w:r>
    </w:p>
    <w:p w14:paraId="38D3CEA4" w14:textId="77777777" w:rsidR="004120DC" w:rsidRDefault="004120DC">
      <w:pPr>
        <w:spacing w:line="360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14:paraId="30AB400C" w14:textId="77777777" w:rsidR="004120DC" w:rsidRDefault="001661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三、主要参考教材</w:t>
      </w:r>
    </w:p>
    <w:p w14:paraId="7E86DDCD" w14:textId="77777777" w:rsidR="004120DC" w:rsidRDefault="00166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《财务管理》蒋平</w:t>
      </w:r>
      <w:r>
        <w:rPr>
          <w:rFonts w:ascii="Times New Roman" w:hAnsi="Times New Roman" w:cs="Times New Roman" w:hint="eastAsia"/>
          <w:sz w:val="24"/>
          <w:szCs w:val="24"/>
        </w:rPr>
        <w:t>、刘梅</w:t>
      </w:r>
      <w:r>
        <w:rPr>
          <w:rFonts w:ascii="Times New Roman" w:hAnsi="Times New Roman" w:cs="Times New Roman"/>
          <w:sz w:val="24"/>
          <w:szCs w:val="24"/>
        </w:rPr>
        <w:t>主编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立信会计出版社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月第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版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ISBN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978-7-5429-</w:t>
      </w:r>
      <w:r>
        <w:rPr>
          <w:rFonts w:ascii="Times New Roman" w:hAnsi="Times New Roman" w:cs="Times New Roman" w:hint="eastAsia"/>
          <w:sz w:val="24"/>
          <w:szCs w:val="24"/>
        </w:rPr>
        <w:t>6273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7/F</w:t>
      </w:r>
    </w:p>
    <w:p w14:paraId="44E08A86" w14:textId="488D5F77" w:rsidR="004120DC" w:rsidRDefault="004120DC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120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98D2" w14:textId="77777777" w:rsidR="00E5417C" w:rsidRDefault="00E5417C">
      <w:r>
        <w:separator/>
      </w:r>
    </w:p>
  </w:endnote>
  <w:endnote w:type="continuationSeparator" w:id="0">
    <w:p w14:paraId="767A94CA" w14:textId="77777777" w:rsidR="00E5417C" w:rsidRDefault="00E5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4554865"/>
      <w:docPartObj>
        <w:docPartGallery w:val="AutoText"/>
      </w:docPartObj>
    </w:sdtPr>
    <w:sdtEndPr/>
    <w:sdtContent>
      <w:p w14:paraId="1966A001" w14:textId="77777777" w:rsidR="004120DC" w:rsidRDefault="001661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9F" w:rsidRPr="00920B9F">
          <w:rPr>
            <w:noProof/>
            <w:lang w:val="zh-CN"/>
          </w:rPr>
          <w:t>1</w:t>
        </w:r>
        <w:r>
          <w:fldChar w:fldCharType="end"/>
        </w:r>
      </w:p>
    </w:sdtContent>
  </w:sdt>
  <w:p w14:paraId="1114F353" w14:textId="77777777" w:rsidR="004120DC" w:rsidRDefault="004120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2DF3" w14:textId="77777777" w:rsidR="00E5417C" w:rsidRDefault="00E5417C">
      <w:r>
        <w:separator/>
      </w:r>
    </w:p>
  </w:footnote>
  <w:footnote w:type="continuationSeparator" w:id="0">
    <w:p w14:paraId="705FDB10" w14:textId="77777777" w:rsidR="00E5417C" w:rsidRDefault="00E5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545"/>
    <w:rsid w:val="00012C15"/>
    <w:rsid w:val="0003770A"/>
    <w:rsid w:val="0005298A"/>
    <w:rsid w:val="00065383"/>
    <w:rsid w:val="00081317"/>
    <w:rsid w:val="000910CE"/>
    <w:rsid w:val="00094820"/>
    <w:rsid w:val="000B43BE"/>
    <w:rsid w:val="000E234A"/>
    <w:rsid w:val="0010106C"/>
    <w:rsid w:val="00157E54"/>
    <w:rsid w:val="0016355B"/>
    <w:rsid w:val="00166190"/>
    <w:rsid w:val="001A3F85"/>
    <w:rsid w:val="001C2E88"/>
    <w:rsid w:val="001C4AE4"/>
    <w:rsid w:val="001E73F0"/>
    <w:rsid w:val="001F0D47"/>
    <w:rsid w:val="00275592"/>
    <w:rsid w:val="00295FEB"/>
    <w:rsid w:val="002A131C"/>
    <w:rsid w:val="002A5259"/>
    <w:rsid w:val="002B071E"/>
    <w:rsid w:val="002C3ABC"/>
    <w:rsid w:val="002E74E7"/>
    <w:rsid w:val="00303C9E"/>
    <w:rsid w:val="003A7FAA"/>
    <w:rsid w:val="003D6B7A"/>
    <w:rsid w:val="003F105E"/>
    <w:rsid w:val="003F7CD4"/>
    <w:rsid w:val="004120DC"/>
    <w:rsid w:val="00463B65"/>
    <w:rsid w:val="004663DB"/>
    <w:rsid w:val="004757EE"/>
    <w:rsid w:val="00495F55"/>
    <w:rsid w:val="004D1CC0"/>
    <w:rsid w:val="004D41B8"/>
    <w:rsid w:val="004D7E15"/>
    <w:rsid w:val="004F7D7C"/>
    <w:rsid w:val="00520953"/>
    <w:rsid w:val="005273BF"/>
    <w:rsid w:val="005347C9"/>
    <w:rsid w:val="0053561B"/>
    <w:rsid w:val="00550F8D"/>
    <w:rsid w:val="0055557A"/>
    <w:rsid w:val="0055646E"/>
    <w:rsid w:val="00574F98"/>
    <w:rsid w:val="005870BE"/>
    <w:rsid w:val="00600BE0"/>
    <w:rsid w:val="00633262"/>
    <w:rsid w:val="00633587"/>
    <w:rsid w:val="0064032D"/>
    <w:rsid w:val="00657D79"/>
    <w:rsid w:val="006D6834"/>
    <w:rsid w:val="006E0B13"/>
    <w:rsid w:val="006F44AE"/>
    <w:rsid w:val="0070188A"/>
    <w:rsid w:val="007170BB"/>
    <w:rsid w:val="0072191F"/>
    <w:rsid w:val="00766EAA"/>
    <w:rsid w:val="007759A0"/>
    <w:rsid w:val="007850EC"/>
    <w:rsid w:val="007965BA"/>
    <w:rsid w:val="007A4463"/>
    <w:rsid w:val="007B2BEC"/>
    <w:rsid w:val="007B7392"/>
    <w:rsid w:val="00831B28"/>
    <w:rsid w:val="008371F4"/>
    <w:rsid w:val="00881859"/>
    <w:rsid w:val="008C2D28"/>
    <w:rsid w:val="008C68A8"/>
    <w:rsid w:val="008F1950"/>
    <w:rsid w:val="00920B9F"/>
    <w:rsid w:val="0092513D"/>
    <w:rsid w:val="009602B3"/>
    <w:rsid w:val="00980BB9"/>
    <w:rsid w:val="009A2E9C"/>
    <w:rsid w:val="009B5627"/>
    <w:rsid w:val="009C2270"/>
    <w:rsid w:val="009D070D"/>
    <w:rsid w:val="00A11A32"/>
    <w:rsid w:val="00A66E06"/>
    <w:rsid w:val="00AC5A7D"/>
    <w:rsid w:val="00AC7C06"/>
    <w:rsid w:val="00AF1DD4"/>
    <w:rsid w:val="00AF2ED2"/>
    <w:rsid w:val="00B13755"/>
    <w:rsid w:val="00B2142E"/>
    <w:rsid w:val="00B36496"/>
    <w:rsid w:val="00B44773"/>
    <w:rsid w:val="00B57B28"/>
    <w:rsid w:val="00B66BD4"/>
    <w:rsid w:val="00B67451"/>
    <w:rsid w:val="00B70C32"/>
    <w:rsid w:val="00BB1062"/>
    <w:rsid w:val="00BC5E69"/>
    <w:rsid w:val="00BD36DD"/>
    <w:rsid w:val="00BD43E6"/>
    <w:rsid w:val="00C0777B"/>
    <w:rsid w:val="00C376C6"/>
    <w:rsid w:val="00C61A69"/>
    <w:rsid w:val="00C628BE"/>
    <w:rsid w:val="00C81545"/>
    <w:rsid w:val="00C83975"/>
    <w:rsid w:val="00CA6FF7"/>
    <w:rsid w:val="00CC7FB1"/>
    <w:rsid w:val="00CD6358"/>
    <w:rsid w:val="00D10C78"/>
    <w:rsid w:val="00D60CD3"/>
    <w:rsid w:val="00D81D25"/>
    <w:rsid w:val="00D9167D"/>
    <w:rsid w:val="00DB35DC"/>
    <w:rsid w:val="00DC6EE2"/>
    <w:rsid w:val="00DE2107"/>
    <w:rsid w:val="00E27C3F"/>
    <w:rsid w:val="00E34512"/>
    <w:rsid w:val="00E5417C"/>
    <w:rsid w:val="00E67431"/>
    <w:rsid w:val="00E70CED"/>
    <w:rsid w:val="00E8690B"/>
    <w:rsid w:val="00E90D60"/>
    <w:rsid w:val="00EC07AE"/>
    <w:rsid w:val="00EC5F8C"/>
    <w:rsid w:val="00EE26D5"/>
    <w:rsid w:val="00EF3687"/>
    <w:rsid w:val="00F21B12"/>
    <w:rsid w:val="00F27E05"/>
    <w:rsid w:val="00F31A3A"/>
    <w:rsid w:val="00F35DE0"/>
    <w:rsid w:val="00F56C0B"/>
    <w:rsid w:val="00FC4044"/>
    <w:rsid w:val="00FD7E53"/>
    <w:rsid w:val="628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656DE"/>
  <w15:docId w15:val="{53764B2D-C339-4B06-ACEF-0E6CFD7A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  <w:kern w:val="0"/>
      <w:sz w:val="24"/>
      <w:szCs w:val="24"/>
      <w:lang w:val="en-AU" w:eastAsia="en-AU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="Times New Roman" w:hAnsi="Times New Roman" w:cs="Times New Roman"/>
      <w:kern w:val="0"/>
      <w:sz w:val="24"/>
      <w:szCs w:val="24"/>
      <w:lang w:val="en-AU" w:eastAsia="en-AU"/>
    </w:rPr>
  </w:style>
  <w:style w:type="paragraph" w:customStyle="1" w:styleId="SubjNameNo">
    <w:name w:val="SubjName&amp;No"/>
    <w:basedOn w:val="a"/>
    <w:qFormat/>
    <w:pPr>
      <w:widowControl/>
      <w:jc w:val="center"/>
    </w:pPr>
    <w:rPr>
      <w:rFonts w:ascii="Times New Roman" w:hAnsi="Times New Roman" w:cs="Times New Roman"/>
      <w:b/>
      <w:kern w:val="0"/>
      <w:sz w:val="32"/>
      <w:szCs w:val="20"/>
      <w:lang w:val="en-AU"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339</Words>
  <Characters>1936</Characters>
  <Application>Microsoft Office Word</Application>
  <DocSecurity>0</DocSecurity>
  <Lines>16</Lines>
  <Paragraphs>4</Paragraphs>
  <ScaleCrop>false</ScaleCrop>
  <Company>微软中国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christinajp@163.com</cp:lastModifiedBy>
  <cp:revision>18</cp:revision>
  <dcterms:created xsi:type="dcterms:W3CDTF">2019-11-15T09:06:00Z</dcterms:created>
  <dcterms:modified xsi:type="dcterms:W3CDTF">2022-02-23T11:58:00Z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